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Style w:val="TitleChar"/>
          <w:sz w:val="32"/>
          <w:szCs w:val="32"/>
        </w:rPr>
        <w:alias w:val="Title"/>
        <w:tag w:val="Title"/>
        <w:id w:val="-509755993"/>
        <w:placeholder>
          <w:docPart w:val="BBCD5782C31349A588337FA199B7C52B"/>
        </w:placeholder>
        <w:dataBinding w:prefixMappings="xmlns:ns0='http://purl.org/dc/elements/1.1/' xmlns:ns1='http://schemas.openxmlformats.org/package/2006/metadata/core-properties' " w:xpath="/ns1:coreProperties[1]/ns0:title[1]" w:storeItemID="{6C3C8BC8-F283-45AE-878A-BAB7291924A1}"/>
        <w15:color w:val="1F1F5F"/>
        <w:text w:multiLine="1"/>
      </w:sdtPr>
      <w:sdtEndPr>
        <w:rPr>
          <w:rStyle w:val="TitleChar"/>
        </w:rPr>
      </w:sdtEndPr>
      <w:sdtContent>
        <w:p w:rsidR="00D61FD1" w:rsidRPr="00EE2054" w:rsidRDefault="004C700F" w:rsidP="00D61FD1">
          <w:pPr>
            <w:pStyle w:val="Title"/>
            <w:rPr>
              <w:sz w:val="32"/>
              <w:szCs w:val="32"/>
            </w:rPr>
          </w:pPr>
          <w:r w:rsidRPr="00EE2054">
            <w:rPr>
              <w:rStyle w:val="TitleChar"/>
              <w:sz w:val="32"/>
              <w:szCs w:val="32"/>
            </w:rPr>
            <w:t xml:space="preserve">Land and Sea Management Fund </w:t>
          </w:r>
          <w:r w:rsidR="00625A8C" w:rsidRPr="00EE2054">
            <w:rPr>
              <w:rStyle w:val="TitleChar"/>
              <w:sz w:val="32"/>
              <w:szCs w:val="32"/>
            </w:rPr>
            <w:t>– Successful Round 7</w:t>
          </w:r>
          <w:r w:rsidR="008F1349" w:rsidRPr="00EE2054">
            <w:rPr>
              <w:rStyle w:val="TitleChar"/>
              <w:sz w:val="32"/>
              <w:szCs w:val="32"/>
            </w:rPr>
            <w:t xml:space="preserve"> </w:t>
          </w:r>
          <w:r w:rsidRPr="00EE2054">
            <w:rPr>
              <w:rStyle w:val="TitleChar"/>
              <w:sz w:val="32"/>
              <w:szCs w:val="32"/>
            </w:rPr>
            <w:t>Grants</w:t>
          </w:r>
        </w:p>
      </w:sdtContent>
    </w:sdt>
    <w:bookmarkStart w:id="0" w:name="_Toc15286907" w:displacedByCustomXml="prev"/>
    <w:bookmarkStart w:id="1" w:name="_Toc15286861" w:displacedByCustomXml="prev"/>
    <w:tbl>
      <w:tblPr>
        <w:tblStyle w:val="TableGrid"/>
        <w:tblW w:w="0" w:type="auto"/>
        <w:tblLook w:val="04A0" w:firstRow="1" w:lastRow="0" w:firstColumn="1" w:lastColumn="0" w:noHBand="0" w:noVBand="1"/>
      </w:tblPr>
      <w:tblGrid>
        <w:gridCol w:w="1538"/>
        <w:gridCol w:w="1599"/>
        <w:gridCol w:w="5914"/>
        <w:gridCol w:w="1257"/>
      </w:tblGrid>
      <w:tr w:rsidR="005D79C8" w:rsidTr="00636208">
        <w:tc>
          <w:tcPr>
            <w:tcW w:w="1538" w:type="dxa"/>
          </w:tcPr>
          <w:bookmarkEnd w:id="1"/>
          <w:bookmarkEnd w:id="0"/>
          <w:p w:rsidR="005D79C8" w:rsidRPr="00EE2054" w:rsidRDefault="005D79C8" w:rsidP="00996655">
            <w:pPr>
              <w:rPr>
                <w:rFonts w:ascii="Lato Semibold" w:hAnsi="Lato Semibold"/>
                <w:sz w:val="24"/>
                <w:szCs w:val="24"/>
                <w:lang w:bidi="en-US"/>
              </w:rPr>
            </w:pPr>
            <w:r w:rsidRPr="00EE2054">
              <w:rPr>
                <w:rFonts w:ascii="Lato Semibold" w:hAnsi="Lato Semibold"/>
                <w:sz w:val="24"/>
                <w:szCs w:val="24"/>
                <w:lang w:bidi="en-US"/>
              </w:rPr>
              <w:t>Applicant</w:t>
            </w:r>
          </w:p>
        </w:tc>
        <w:tc>
          <w:tcPr>
            <w:tcW w:w="1599" w:type="dxa"/>
          </w:tcPr>
          <w:p w:rsidR="005D79C8" w:rsidRPr="00EE2054" w:rsidRDefault="007F020F" w:rsidP="00996655">
            <w:pPr>
              <w:rPr>
                <w:rFonts w:ascii="Lato Semibold" w:hAnsi="Lato Semibold"/>
                <w:sz w:val="24"/>
                <w:szCs w:val="24"/>
                <w:lang w:bidi="en-US"/>
              </w:rPr>
            </w:pPr>
            <w:r w:rsidRPr="00EE2054">
              <w:rPr>
                <w:rFonts w:ascii="Lato Semibold" w:hAnsi="Lato Semibold"/>
                <w:sz w:val="24"/>
                <w:szCs w:val="24"/>
                <w:lang w:bidi="en-US"/>
              </w:rPr>
              <w:t>T</w:t>
            </w:r>
            <w:r w:rsidR="005D79C8" w:rsidRPr="00EE2054">
              <w:rPr>
                <w:rFonts w:ascii="Lato Semibold" w:hAnsi="Lato Semibold"/>
                <w:sz w:val="24"/>
                <w:szCs w:val="24"/>
                <w:lang w:bidi="en-US"/>
              </w:rPr>
              <w:t>itle</w:t>
            </w:r>
          </w:p>
        </w:tc>
        <w:tc>
          <w:tcPr>
            <w:tcW w:w="5914" w:type="dxa"/>
          </w:tcPr>
          <w:p w:rsidR="005D79C8" w:rsidRPr="00EE2054" w:rsidRDefault="005D79C8" w:rsidP="00996655">
            <w:pPr>
              <w:rPr>
                <w:rFonts w:ascii="Lato Semibold" w:hAnsi="Lato Semibold"/>
                <w:sz w:val="24"/>
                <w:szCs w:val="24"/>
                <w:lang w:bidi="en-US"/>
              </w:rPr>
            </w:pPr>
            <w:r w:rsidRPr="00EE2054">
              <w:rPr>
                <w:rFonts w:ascii="Lato Semibold" w:hAnsi="Lato Semibold"/>
                <w:sz w:val="24"/>
                <w:szCs w:val="24"/>
                <w:lang w:bidi="en-US"/>
              </w:rPr>
              <w:t>Project Description</w:t>
            </w:r>
          </w:p>
        </w:tc>
        <w:tc>
          <w:tcPr>
            <w:tcW w:w="1257" w:type="dxa"/>
          </w:tcPr>
          <w:p w:rsidR="005D79C8" w:rsidRPr="00EE2054" w:rsidRDefault="007F020F" w:rsidP="00996655">
            <w:pPr>
              <w:rPr>
                <w:rFonts w:ascii="Lato Semibold" w:hAnsi="Lato Semibold"/>
                <w:sz w:val="24"/>
                <w:szCs w:val="24"/>
                <w:lang w:bidi="en-US"/>
              </w:rPr>
            </w:pPr>
            <w:r w:rsidRPr="00EE2054">
              <w:rPr>
                <w:rFonts w:ascii="Lato Semibold" w:hAnsi="Lato Semibold"/>
                <w:sz w:val="24"/>
                <w:szCs w:val="24"/>
                <w:lang w:bidi="en-US"/>
              </w:rPr>
              <w:t>D</w:t>
            </w:r>
            <w:r w:rsidR="00EE2054" w:rsidRPr="00EE2054">
              <w:rPr>
                <w:rFonts w:ascii="Lato Semibold" w:hAnsi="Lato Semibold"/>
                <w:sz w:val="24"/>
                <w:szCs w:val="24"/>
                <w:lang w:bidi="en-US"/>
              </w:rPr>
              <w:t xml:space="preserve">uration </w:t>
            </w:r>
          </w:p>
        </w:tc>
      </w:tr>
      <w:tr w:rsidR="005D79C8" w:rsidTr="00636208">
        <w:tc>
          <w:tcPr>
            <w:tcW w:w="1538" w:type="dxa"/>
          </w:tcPr>
          <w:p w:rsidR="005D79C8" w:rsidRPr="00EE2054" w:rsidRDefault="00430D13" w:rsidP="00996655">
            <w:pPr>
              <w:rPr>
                <w:sz w:val="20"/>
                <w:szCs w:val="20"/>
                <w:lang w:bidi="en-US"/>
              </w:rPr>
            </w:pPr>
            <w:proofErr w:type="spellStart"/>
            <w:r w:rsidRPr="00EE2054">
              <w:rPr>
                <w:sz w:val="20"/>
                <w:szCs w:val="20"/>
                <w:lang w:bidi="en-US"/>
              </w:rPr>
              <w:t>Mimal</w:t>
            </w:r>
            <w:proofErr w:type="spellEnd"/>
            <w:r w:rsidRPr="00EE2054">
              <w:rPr>
                <w:sz w:val="20"/>
                <w:szCs w:val="20"/>
                <w:lang w:bidi="en-US"/>
              </w:rPr>
              <w:t xml:space="preserve"> Land Management Aboriginal Corporation</w:t>
            </w:r>
          </w:p>
        </w:tc>
        <w:tc>
          <w:tcPr>
            <w:tcW w:w="1599" w:type="dxa"/>
          </w:tcPr>
          <w:p w:rsidR="005D79C8" w:rsidRPr="00EE2054" w:rsidRDefault="00430D13" w:rsidP="00996655">
            <w:pPr>
              <w:rPr>
                <w:sz w:val="20"/>
                <w:szCs w:val="20"/>
                <w:lang w:bidi="en-US"/>
              </w:rPr>
            </w:pPr>
            <w:r w:rsidRPr="00EE2054">
              <w:rPr>
                <w:sz w:val="20"/>
                <w:szCs w:val="20"/>
                <w:lang w:bidi="en-US"/>
              </w:rPr>
              <w:t>Strong Women for Healthy Country Mentorship Support</w:t>
            </w:r>
          </w:p>
        </w:tc>
        <w:tc>
          <w:tcPr>
            <w:tcW w:w="5914" w:type="dxa"/>
          </w:tcPr>
          <w:p w:rsidR="005D79C8" w:rsidRPr="00EE2054" w:rsidRDefault="00430D13" w:rsidP="00EE2054">
            <w:pPr>
              <w:rPr>
                <w:rFonts w:asciiTheme="minorHAnsi" w:hAnsiTheme="minorHAnsi" w:cs="Calibri"/>
                <w:color w:val="000000"/>
                <w:sz w:val="20"/>
                <w:szCs w:val="20"/>
              </w:rPr>
            </w:pPr>
            <w:r w:rsidRPr="00EE2054">
              <w:rPr>
                <w:rFonts w:asciiTheme="minorHAnsi" w:hAnsiTheme="minorHAnsi" w:cs="Calibri"/>
                <w:color w:val="000000"/>
                <w:sz w:val="20"/>
                <w:szCs w:val="20"/>
              </w:rPr>
              <w:t xml:space="preserve">Indigenous women throughout the Territory have been designing and driving their Strong Women for Healthy Country Network over the past 5 years, with support from </w:t>
            </w:r>
            <w:proofErr w:type="spellStart"/>
            <w:r w:rsidRPr="00EE2054">
              <w:rPr>
                <w:rFonts w:asciiTheme="minorHAnsi" w:hAnsiTheme="minorHAnsi" w:cs="Calibri"/>
                <w:color w:val="000000"/>
                <w:sz w:val="20"/>
                <w:szCs w:val="20"/>
              </w:rPr>
              <w:t>Mimal</w:t>
            </w:r>
            <w:proofErr w:type="spellEnd"/>
            <w:r w:rsidRPr="00EE2054">
              <w:rPr>
                <w:rFonts w:asciiTheme="minorHAnsi" w:hAnsiTheme="minorHAnsi" w:cs="Calibri"/>
                <w:color w:val="000000"/>
                <w:sz w:val="20"/>
                <w:szCs w:val="20"/>
              </w:rPr>
              <w:t xml:space="preserve"> Land Management. </w:t>
            </w:r>
            <w:r w:rsidR="00534DBB">
              <w:rPr>
                <w:rFonts w:asciiTheme="minorHAnsi" w:hAnsiTheme="minorHAnsi" w:cs="Calibri"/>
                <w:color w:val="000000"/>
                <w:sz w:val="20"/>
                <w:szCs w:val="20"/>
              </w:rPr>
              <w:t>This grant will help meet</w:t>
            </w:r>
            <w:r w:rsidR="00EE2054">
              <w:rPr>
                <w:rFonts w:asciiTheme="minorHAnsi" w:hAnsiTheme="minorHAnsi" w:cs="Calibri"/>
                <w:color w:val="000000"/>
                <w:sz w:val="20"/>
                <w:szCs w:val="20"/>
              </w:rPr>
              <w:t xml:space="preserve"> </w:t>
            </w:r>
            <w:r w:rsidRPr="00EE2054">
              <w:rPr>
                <w:rFonts w:asciiTheme="minorHAnsi" w:hAnsiTheme="minorHAnsi" w:cs="Calibri"/>
                <w:color w:val="000000"/>
                <w:sz w:val="20"/>
                <w:szCs w:val="20"/>
              </w:rPr>
              <w:t xml:space="preserve">an urgent need </w:t>
            </w:r>
            <w:r w:rsidR="00EE2054">
              <w:rPr>
                <w:rFonts w:asciiTheme="minorHAnsi" w:hAnsiTheme="minorHAnsi" w:cs="Calibri"/>
                <w:color w:val="000000"/>
                <w:sz w:val="20"/>
                <w:szCs w:val="20"/>
              </w:rPr>
              <w:t>identified by o</w:t>
            </w:r>
            <w:r w:rsidR="00EE2054" w:rsidRPr="00EE2054">
              <w:rPr>
                <w:rFonts w:asciiTheme="minorHAnsi" w:hAnsiTheme="minorHAnsi" w:cs="Calibri"/>
                <w:color w:val="000000"/>
                <w:sz w:val="20"/>
                <w:szCs w:val="20"/>
              </w:rPr>
              <w:t xml:space="preserve">ver 200 women caring for Country </w:t>
            </w:r>
            <w:r w:rsidR="00EE2054">
              <w:rPr>
                <w:rFonts w:asciiTheme="minorHAnsi" w:hAnsiTheme="minorHAnsi" w:cs="Calibri"/>
                <w:color w:val="000000"/>
                <w:sz w:val="20"/>
                <w:szCs w:val="20"/>
              </w:rPr>
              <w:t xml:space="preserve">- </w:t>
            </w:r>
            <w:r w:rsidRPr="00EE2054">
              <w:rPr>
                <w:rFonts w:asciiTheme="minorHAnsi" w:hAnsiTheme="minorHAnsi" w:cs="Calibri"/>
                <w:color w:val="000000"/>
                <w:sz w:val="20"/>
                <w:szCs w:val="20"/>
              </w:rPr>
              <w:t>to attract and deliver support for women working as mentors in re</w:t>
            </w:r>
            <w:r w:rsidR="00EE2054">
              <w:rPr>
                <w:rFonts w:asciiTheme="minorHAnsi" w:hAnsiTheme="minorHAnsi" w:cs="Calibri"/>
                <w:color w:val="000000"/>
                <w:sz w:val="20"/>
                <w:szCs w:val="20"/>
              </w:rPr>
              <w:t>mote communities</w:t>
            </w:r>
            <w:r w:rsidRPr="00EE2054">
              <w:rPr>
                <w:rFonts w:asciiTheme="minorHAnsi" w:hAnsiTheme="minorHAnsi" w:cs="Calibri"/>
                <w:color w:val="000000"/>
                <w:sz w:val="20"/>
                <w:szCs w:val="20"/>
              </w:rPr>
              <w:t>.</w:t>
            </w:r>
          </w:p>
        </w:tc>
        <w:tc>
          <w:tcPr>
            <w:tcW w:w="1257" w:type="dxa"/>
          </w:tcPr>
          <w:p w:rsidR="005D79C8" w:rsidRPr="00EE2054" w:rsidRDefault="00EE2054" w:rsidP="00996655">
            <w:pPr>
              <w:rPr>
                <w:sz w:val="20"/>
                <w:szCs w:val="20"/>
                <w:lang w:bidi="en-US"/>
              </w:rPr>
            </w:pPr>
            <w:r w:rsidRPr="00EE2054">
              <w:rPr>
                <w:sz w:val="20"/>
                <w:szCs w:val="20"/>
                <w:lang w:bidi="en-US"/>
              </w:rPr>
              <w:t>2 years</w:t>
            </w:r>
          </w:p>
        </w:tc>
      </w:tr>
      <w:tr w:rsidR="005D79C8" w:rsidTr="00636208">
        <w:tc>
          <w:tcPr>
            <w:tcW w:w="1538" w:type="dxa"/>
          </w:tcPr>
          <w:p w:rsidR="005D79C8" w:rsidRPr="00EE2054" w:rsidRDefault="00EE2054" w:rsidP="00996655">
            <w:pPr>
              <w:rPr>
                <w:sz w:val="20"/>
                <w:szCs w:val="20"/>
                <w:lang w:bidi="en-US"/>
              </w:rPr>
            </w:pPr>
            <w:proofErr w:type="spellStart"/>
            <w:r w:rsidRPr="00EE2054">
              <w:rPr>
                <w:sz w:val="20"/>
                <w:szCs w:val="20"/>
                <w:lang w:bidi="en-US"/>
              </w:rPr>
              <w:t>Warddeken</w:t>
            </w:r>
            <w:proofErr w:type="spellEnd"/>
            <w:r w:rsidRPr="00EE2054">
              <w:rPr>
                <w:sz w:val="20"/>
                <w:szCs w:val="20"/>
                <w:lang w:bidi="en-US"/>
              </w:rPr>
              <w:t xml:space="preserve"> Land Management Limited</w:t>
            </w:r>
          </w:p>
        </w:tc>
        <w:tc>
          <w:tcPr>
            <w:tcW w:w="1599" w:type="dxa"/>
          </w:tcPr>
          <w:p w:rsidR="005D79C8" w:rsidRPr="00EE2054" w:rsidRDefault="00EE2054" w:rsidP="00625A8C">
            <w:pPr>
              <w:rPr>
                <w:sz w:val="20"/>
                <w:szCs w:val="20"/>
                <w:lang w:bidi="en-US"/>
              </w:rPr>
            </w:pPr>
            <w:r w:rsidRPr="00EE2054">
              <w:rPr>
                <w:sz w:val="20"/>
                <w:szCs w:val="20"/>
                <w:lang w:bidi="en-US"/>
              </w:rPr>
              <w:t>Training and Support for Feral Animal Management Activities</w:t>
            </w:r>
          </w:p>
        </w:tc>
        <w:tc>
          <w:tcPr>
            <w:tcW w:w="5914" w:type="dxa"/>
          </w:tcPr>
          <w:p w:rsidR="005D79C8" w:rsidRPr="00EE2054" w:rsidRDefault="00EE2054" w:rsidP="000F5370">
            <w:pPr>
              <w:rPr>
                <w:sz w:val="20"/>
                <w:szCs w:val="20"/>
                <w:lang w:bidi="en-US"/>
              </w:rPr>
            </w:pPr>
            <w:r w:rsidRPr="00EE2054">
              <w:rPr>
                <w:sz w:val="20"/>
                <w:szCs w:val="20"/>
                <w:lang w:bidi="en-US"/>
              </w:rPr>
              <w:t xml:space="preserve">In addition to supporting rangers undertaking the aerial culling component of the program, training in A &amp; B firearms will be provided to six </w:t>
            </w:r>
            <w:proofErr w:type="spellStart"/>
            <w:r w:rsidRPr="00EE2054">
              <w:rPr>
                <w:sz w:val="20"/>
                <w:szCs w:val="20"/>
                <w:lang w:bidi="en-US"/>
              </w:rPr>
              <w:t>daluk</w:t>
            </w:r>
            <w:proofErr w:type="spellEnd"/>
            <w:r w:rsidRPr="00EE2054">
              <w:rPr>
                <w:sz w:val="20"/>
                <w:szCs w:val="20"/>
                <w:lang w:bidi="en-US"/>
              </w:rPr>
              <w:t xml:space="preserve"> (women) rangers to allow them to undertake ground culling operations and diversify the capacity of WLML’s women’s ranger program to be involved in all aspects of the IPA Plan of Management.</w:t>
            </w:r>
          </w:p>
        </w:tc>
        <w:tc>
          <w:tcPr>
            <w:tcW w:w="1257" w:type="dxa"/>
          </w:tcPr>
          <w:p w:rsidR="005D79C8" w:rsidRPr="00EE2054" w:rsidRDefault="00EE2054" w:rsidP="00996655">
            <w:pPr>
              <w:rPr>
                <w:sz w:val="20"/>
                <w:szCs w:val="20"/>
                <w:lang w:bidi="en-US"/>
              </w:rPr>
            </w:pPr>
            <w:r>
              <w:rPr>
                <w:sz w:val="20"/>
                <w:szCs w:val="20"/>
                <w:lang w:bidi="en-US"/>
              </w:rPr>
              <w:t>1 year</w:t>
            </w:r>
          </w:p>
        </w:tc>
      </w:tr>
      <w:tr w:rsidR="005D79C8" w:rsidTr="00636208">
        <w:tc>
          <w:tcPr>
            <w:tcW w:w="1538" w:type="dxa"/>
          </w:tcPr>
          <w:p w:rsidR="005D79C8" w:rsidRPr="00EE2054" w:rsidRDefault="00EE2054" w:rsidP="00996655">
            <w:pPr>
              <w:rPr>
                <w:sz w:val="20"/>
                <w:szCs w:val="20"/>
                <w:lang w:bidi="en-US"/>
              </w:rPr>
            </w:pPr>
            <w:proofErr w:type="spellStart"/>
            <w:r w:rsidRPr="00EE2054">
              <w:rPr>
                <w:sz w:val="20"/>
                <w:szCs w:val="20"/>
                <w:lang w:bidi="en-US"/>
              </w:rPr>
              <w:t>Dhimurru</w:t>
            </w:r>
            <w:proofErr w:type="spellEnd"/>
            <w:r w:rsidRPr="00EE2054">
              <w:rPr>
                <w:sz w:val="20"/>
                <w:szCs w:val="20"/>
                <w:lang w:bidi="en-US"/>
              </w:rPr>
              <w:t xml:space="preserve"> Aboriginal Corporation</w:t>
            </w:r>
          </w:p>
        </w:tc>
        <w:tc>
          <w:tcPr>
            <w:tcW w:w="1599" w:type="dxa"/>
          </w:tcPr>
          <w:p w:rsidR="005D79C8" w:rsidRPr="00EE2054" w:rsidRDefault="00EE2054" w:rsidP="00996655">
            <w:pPr>
              <w:rPr>
                <w:sz w:val="20"/>
                <w:szCs w:val="20"/>
                <w:lang w:bidi="en-US"/>
              </w:rPr>
            </w:pPr>
            <w:r w:rsidRPr="00EE2054">
              <w:rPr>
                <w:sz w:val="20"/>
                <w:szCs w:val="20"/>
                <w:lang w:bidi="en-US"/>
              </w:rPr>
              <w:t xml:space="preserve">Implementation of the Yolngu Knowledge Framework at </w:t>
            </w:r>
            <w:proofErr w:type="spellStart"/>
            <w:r w:rsidRPr="00EE2054">
              <w:rPr>
                <w:sz w:val="20"/>
                <w:szCs w:val="20"/>
                <w:lang w:bidi="en-US"/>
              </w:rPr>
              <w:t>Dhimurru</w:t>
            </w:r>
            <w:proofErr w:type="spellEnd"/>
          </w:p>
        </w:tc>
        <w:tc>
          <w:tcPr>
            <w:tcW w:w="5914" w:type="dxa"/>
          </w:tcPr>
          <w:p w:rsidR="005D79C8" w:rsidRPr="00EE2054" w:rsidRDefault="00EE2054" w:rsidP="00EE2054">
            <w:pPr>
              <w:rPr>
                <w:rFonts w:asciiTheme="minorHAnsi" w:hAnsiTheme="minorHAnsi" w:cs="Calibri"/>
                <w:color w:val="000000"/>
                <w:sz w:val="20"/>
                <w:szCs w:val="20"/>
              </w:rPr>
            </w:pPr>
            <w:r w:rsidRPr="00EE2054">
              <w:rPr>
                <w:rFonts w:asciiTheme="minorHAnsi" w:hAnsiTheme="minorHAnsi" w:cs="Calibri"/>
                <w:color w:val="000000"/>
                <w:sz w:val="20"/>
                <w:szCs w:val="20"/>
              </w:rPr>
              <w:t xml:space="preserve">Over the last 30 years </w:t>
            </w:r>
            <w:proofErr w:type="spellStart"/>
            <w:r w:rsidRPr="00EE2054">
              <w:rPr>
                <w:rFonts w:asciiTheme="minorHAnsi" w:hAnsiTheme="minorHAnsi" w:cs="Calibri"/>
                <w:color w:val="000000"/>
                <w:sz w:val="20"/>
                <w:szCs w:val="20"/>
              </w:rPr>
              <w:t>Dhimurru’s</w:t>
            </w:r>
            <w:proofErr w:type="spellEnd"/>
            <w:r w:rsidRPr="00EE2054">
              <w:rPr>
                <w:rFonts w:asciiTheme="minorHAnsi" w:hAnsiTheme="minorHAnsi" w:cs="Calibri"/>
                <w:color w:val="000000"/>
                <w:sz w:val="20"/>
                <w:szCs w:val="20"/>
              </w:rPr>
              <w:t xml:space="preserve"> work has focused on mainstream ranger work. It is now time to implement our </w:t>
            </w:r>
            <w:proofErr w:type="spellStart"/>
            <w:r w:rsidRPr="00EE2054">
              <w:rPr>
                <w:rFonts w:asciiTheme="minorHAnsi" w:hAnsiTheme="minorHAnsi" w:cs="Calibri"/>
                <w:color w:val="000000"/>
                <w:sz w:val="20"/>
                <w:szCs w:val="20"/>
              </w:rPr>
              <w:t>Yolŋu</w:t>
            </w:r>
            <w:proofErr w:type="spellEnd"/>
            <w:r w:rsidRPr="00EE2054">
              <w:rPr>
                <w:rFonts w:asciiTheme="minorHAnsi" w:hAnsiTheme="minorHAnsi" w:cs="Calibri"/>
                <w:color w:val="000000"/>
                <w:sz w:val="20"/>
                <w:szCs w:val="20"/>
              </w:rPr>
              <w:t xml:space="preserve"> Knowledge Framework to recognise and value </w:t>
            </w:r>
            <w:proofErr w:type="spellStart"/>
            <w:r w:rsidRPr="00EE2054">
              <w:rPr>
                <w:rFonts w:asciiTheme="minorHAnsi" w:hAnsiTheme="minorHAnsi" w:cs="Calibri"/>
                <w:color w:val="000000"/>
                <w:sz w:val="20"/>
                <w:szCs w:val="20"/>
              </w:rPr>
              <w:t>Yolŋu</w:t>
            </w:r>
            <w:proofErr w:type="spellEnd"/>
            <w:r w:rsidRPr="00EE2054">
              <w:rPr>
                <w:rFonts w:asciiTheme="minorHAnsi" w:hAnsiTheme="minorHAnsi" w:cs="Calibri"/>
                <w:color w:val="000000"/>
                <w:sz w:val="20"/>
                <w:szCs w:val="20"/>
              </w:rPr>
              <w:t xml:space="preserve"> approaches to management.  The </w:t>
            </w:r>
            <w:proofErr w:type="spellStart"/>
            <w:r w:rsidRPr="00EE2054">
              <w:rPr>
                <w:rFonts w:asciiTheme="minorHAnsi" w:hAnsiTheme="minorHAnsi" w:cs="Calibri"/>
                <w:color w:val="000000"/>
                <w:sz w:val="20"/>
                <w:szCs w:val="20"/>
              </w:rPr>
              <w:t>Dhimurru</w:t>
            </w:r>
            <w:proofErr w:type="spellEnd"/>
            <w:r w:rsidRPr="00EE2054">
              <w:rPr>
                <w:rFonts w:asciiTheme="minorHAnsi" w:hAnsiTheme="minorHAnsi" w:cs="Calibri"/>
                <w:color w:val="000000"/>
                <w:sz w:val="20"/>
                <w:szCs w:val="20"/>
              </w:rPr>
              <w:t xml:space="preserve"> Board decided to split our workforce in two.  We will have one </w:t>
            </w:r>
            <w:proofErr w:type="spellStart"/>
            <w:r w:rsidRPr="00EE2054">
              <w:rPr>
                <w:rFonts w:asciiTheme="minorHAnsi" w:hAnsiTheme="minorHAnsi" w:cs="Calibri"/>
                <w:color w:val="000000"/>
                <w:sz w:val="20"/>
                <w:szCs w:val="20"/>
              </w:rPr>
              <w:t>Yolŋu</w:t>
            </w:r>
            <w:proofErr w:type="spellEnd"/>
            <w:r w:rsidRPr="00EE2054">
              <w:rPr>
                <w:rFonts w:asciiTheme="minorHAnsi" w:hAnsiTheme="minorHAnsi" w:cs="Calibri"/>
                <w:color w:val="000000"/>
                <w:sz w:val="20"/>
                <w:szCs w:val="20"/>
              </w:rPr>
              <w:t xml:space="preserve"> Rom (law) team dedicated to managing Country using </w:t>
            </w:r>
            <w:proofErr w:type="spellStart"/>
            <w:r w:rsidRPr="00EE2054">
              <w:rPr>
                <w:rFonts w:asciiTheme="minorHAnsi" w:hAnsiTheme="minorHAnsi" w:cs="Calibri"/>
                <w:color w:val="000000"/>
                <w:sz w:val="20"/>
                <w:szCs w:val="20"/>
              </w:rPr>
              <w:t>Yolŋu</w:t>
            </w:r>
            <w:proofErr w:type="spellEnd"/>
            <w:r w:rsidRPr="00EE2054">
              <w:rPr>
                <w:rFonts w:asciiTheme="minorHAnsi" w:hAnsiTheme="minorHAnsi" w:cs="Calibri"/>
                <w:color w:val="000000"/>
                <w:sz w:val="20"/>
                <w:szCs w:val="20"/>
              </w:rPr>
              <w:t xml:space="preserve"> methods</w:t>
            </w:r>
            <w:r>
              <w:rPr>
                <w:rFonts w:asciiTheme="minorHAnsi" w:hAnsiTheme="minorHAnsi" w:cs="Calibri"/>
                <w:color w:val="000000"/>
                <w:sz w:val="20"/>
                <w:szCs w:val="20"/>
              </w:rPr>
              <w:t xml:space="preserve"> and will be supported by this grant</w:t>
            </w:r>
            <w:r w:rsidRPr="00EE2054">
              <w:rPr>
                <w:rFonts w:asciiTheme="minorHAnsi" w:hAnsiTheme="minorHAnsi" w:cs="Calibri"/>
                <w:color w:val="000000"/>
                <w:sz w:val="20"/>
                <w:szCs w:val="20"/>
              </w:rPr>
              <w:t xml:space="preserve">.  The Operations Team will manage mainstream work.  </w:t>
            </w:r>
          </w:p>
        </w:tc>
        <w:tc>
          <w:tcPr>
            <w:tcW w:w="1257" w:type="dxa"/>
          </w:tcPr>
          <w:p w:rsidR="005D79C8" w:rsidRPr="00EE2054" w:rsidRDefault="00EE2054" w:rsidP="00996655">
            <w:pPr>
              <w:rPr>
                <w:sz w:val="20"/>
                <w:szCs w:val="20"/>
                <w:lang w:bidi="en-US"/>
              </w:rPr>
            </w:pPr>
            <w:r>
              <w:rPr>
                <w:sz w:val="20"/>
                <w:szCs w:val="20"/>
                <w:lang w:bidi="en-US"/>
              </w:rPr>
              <w:t>2 years</w:t>
            </w:r>
          </w:p>
        </w:tc>
      </w:tr>
      <w:tr w:rsidR="00775B91" w:rsidTr="00636208">
        <w:tc>
          <w:tcPr>
            <w:tcW w:w="1538" w:type="dxa"/>
          </w:tcPr>
          <w:p w:rsidR="00775B91" w:rsidRPr="00EE2054" w:rsidRDefault="00775B91" w:rsidP="00996655">
            <w:pPr>
              <w:rPr>
                <w:sz w:val="20"/>
                <w:szCs w:val="20"/>
                <w:lang w:bidi="en-US"/>
              </w:rPr>
            </w:pPr>
            <w:r w:rsidRPr="00775B91">
              <w:rPr>
                <w:sz w:val="20"/>
                <w:szCs w:val="20"/>
                <w:lang w:bidi="en-US"/>
              </w:rPr>
              <w:t>Arafura Swamp Rangers Aboriginal Corporation</w:t>
            </w:r>
          </w:p>
        </w:tc>
        <w:tc>
          <w:tcPr>
            <w:tcW w:w="1599" w:type="dxa"/>
          </w:tcPr>
          <w:p w:rsidR="00775B91" w:rsidRPr="00EE2054" w:rsidRDefault="00775B91" w:rsidP="00996655">
            <w:pPr>
              <w:rPr>
                <w:sz w:val="20"/>
                <w:szCs w:val="20"/>
                <w:lang w:bidi="en-US"/>
              </w:rPr>
            </w:pPr>
            <w:r w:rsidRPr="00775B91">
              <w:rPr>
                <w:sz w:val="20"/>
                <w:szCs w:val="20"/>
                <w:lang w:bidi="en-US"/>
              </w:rPr>
              <w:t xml:space="preserve">Protecting the biodiversity and cultural values of </w:t>
            </w:r>
            <w:proofErr w:type="spellStart"/>
            <w:r w:rsidRPr="00775B91">
              <w:rPr>
                <w:sz w:val="20"/>
                <w:szCs w:val="20"/>
                <w:lang w:bidi="en-US"/>
              </w:rPr>
              <w:t>Gurruwiling</w:t>
            </w:r>
            <w:proofErr w:type="spellEnd"/>
            <w:r w:rsidRPr="00775B91">
              <w:rPr>
                <w:sz w:val="20"/>
                <w:szCs w:val="20"/>
                <w:lang w:bidi="en-US"/>
              </w:rPr>
              <w:t xml:space="preserve"> (the Arafura Swamp) from the threat of Olive </w:t>
            </w:r>
            <w:proofErr w:type="spellStart"/>
            <w:r w:rsidRPr="00775B91">
              <w:rPr>
                <w:sz w:val="20"/>
                <w:szCs w:val="20"/>
                <w:lang w:bidi="en-US"/>
              </w:rPr>
              <w:t>hymenachne</w:t>
            </w:r>
            <w:proofErr w:type="spellEnd"/>
          </w:p>
        </w:tc>
        <w:tc>
          <w:tcPr>
            <w:tcW w:w="5914" w:type="dxa"/>
          </w:tcPr>
          <w:p w:rsidR="00775B91" w:rsidRPr="00775B91" w:rsidRDefault="00775B91" w:rsidP="00775B91">
            <w:pPr>
              <w:rPr>
                <w:sz w:val="20"/>
                <w:szCs w:val="20"/>
                <w:lang w:bidi="en-US"/>
              </w:rPr>
            </w:pPr>
            <w:r w:rsidRPr="00775B91">
              <w:rPr>
                <w:sz w:val="20"/>
                <w:szCs w:val="20"/>
                <w:lang w:bidi="en-US"/>
              </w:rPr>
              <w:t xml:space="preserve">ASRAC has in place a well-established control plan in action for mimosa (Mimosa </w:t>
            </w:r>
            <w:proofErr w:type="spellStart"/>
            <w:r w:rsidRPr="00775B91">
              <w:rPr>
                <w:sz w:val="20"/>
                <w:szCs w:val="20"/>
                <w:lang w:bidi="en-US"/>
              </w:rPr>
              <w:t>pigra</w:t>
            </w:r>
            <w:proofErr w:type="spellEnd"/>
            <w:r w:rsidRPr="00775B91">
              <w:rPr>
                <w:sz w:val="20"/>
                <w:szCs w:val="20"/>
                <w:lang w:bidi="en-US"/>
              </w:rPr>
              <w:t>) and gamba grass (</w:t>
            </w:r>
            <w:proofErr w:type="spellStart"/>
            <w:r w:rsidRPr="00775B91">
              <w:rPr>
                <w:sz w:val="20"/>
                <w:szCs w:val="20"/>
                <w:lang w:bidi="en-US"/>
              </w:rPr>
              <w:t>Andropogon</w:t>
            </w:r>
            <w:proofErr w:type="spellEnd"/>
            <w:r w:rsidRPr="00775B91">
              <w:rPr>
                <w:sz w:val="20"/>
                <w:szCs w:val="20"/>
                <w:lang w:bidi="en-US"/>
              </w:rPr>
              <w:t xml:space="preserve"> </w:t>
            </w:r>
            <w:proofErr w:type="spellStart"/>
            <w:r w:rsidRPr="00775B91">
              <w:rPr>
                <w:sz w:val="20"/>
                <w:szCs w:val="20"/>
                <w:lang w:bidi="en-US"/>
              </w:rPr>
              <w:t>gayanus</w:t>
            </w:r>
            <w:proofErr w:type="spellEnd"/>
            <w:r w:rsidRPr="00775B91">
              <w:rPr>
                <w:sz w:val="20"/>
                <w:szCs w:val="20"/>
                <w:lang w:bidi="en-US"/>
              </w:rPr>
              <w:t xml:space="preserve">). ASRAC however has no control implemented for the identified threat of Olive </w:t>
            </w:r>
            <w:proofErr w:type="spellStart"/>
            <w:r w:rsidRPr="00775B91">
              <w:rPr>
                <w:sz w:val="20"/>
                <w:szCs w:val="20"/>
                <w:lang w:bidi="en-US"/>
              </w:rPr>
              <w:t>hymenachne</w:t>
            </w:r>
            <w:proofErr w:type="spellEnd"/>
            <w:r w:rsidRPr="00775B91">
              <w:rPr>
                <w:sz w:val="20"/>
                <w:szCs w:val="20"/>
                <w:lang w:bidi="en-US"/>
              </w:rPr>
              <w:t xml:space="preserve"> (</w:t>
            </w:r>
            <w:proofErr w:type="spellStart"/>
            <w:r w:rsidRPr="00775B91">
              <w:rPr>
                <w:sz w:val="20"/>
                <w:szCs w:val="20"/>
                <w:lang w:bidi="en-US"/>
              </w:rPr>
              <w:t>Hymenachne</w:t>
            </w:r>
            <w:proofErr w:type="spellEnd"/>
            <w:r w:rsidRPr="00775B91">
              <w:rPr>
                <w:sz w:val="20"/>
                <w:szCs w:val="20"/>
                <w:lang w:bidi="en-US"/>
              </w:rPr>
              <w:t xml:space="preserve"> </w:t>
            </w:r>
            <w:proofErr w:type="spellStart"/>
            <w:r w:rsidRPr="00775B91">
              <w:rPr>
                <w:sz w:val="20"/>
                <w:szCs w:val="20"/>
                <w:lang w:bidi="en-US"/>
              </w:rPr>
              <w:t>amplexicaulis</w:t>
            </w:r>
            <w:proofErr w:type="spellEnd"/>
            <w:r w:rsidRPr="00775B91">
              <w:rPr>
                <w:sz w:val="20"/>
                <w:szCs w:val="20"/>
                <w:lang w:bidi="en-US"/>
              </w:rPr>
              <w:t xml:space="preserve">). Olive </w:t>
            </w:r>
            <w:proofErr w:type="spellStart"/>
            <w:r w:rsidRPr="00775B91">
              <w:rPr>
                <w:sz w:val="20"/>
                <w:szCs w:val="20"/>
                <w:lang w:bidi="en-US"/>
              </w:rPr>
              <w:t>Hymenachne</w:t>
            </w:r>
            <w:proofErr w:type="spellEnd"/>
            <w:r w:rsidRPr="00775B91">
              <w:rPr>
                <w:sz w:val="20"/>
                <w:szCs w:val="20"/>
                <w:lang w:bidi="en-US"/>
              </w:rPr>
              <w:t xml:space="preserve"> was first introduced as an improved pasture and has since taken over the northern third of the Arafura Swamp.</w:t>
            </w:r>
            <w:r>
              <w:t xml:space="preserve"> </w:t>
            </w:r>
            <w:r w:rsidRPr="00775B91">
              <w:rPr>
                <w:sz w:val="20"/>
                <w:szCs w:val="20"/>
                <w:lang w:bidi="en-US"/>
              </w:rPr>
              <w:t xml:space="preserve">An aerial survey </w:t>
            </w:r>
            <w:r>
              <w:rPr>
                <w:sz w:val="20"/>
                <w:szCs w:val="20"/>
                <w:lang w:bidi="en-US"/>
              </w:rPr>
              <w:t>will</w:t>
            </w:r>
            <w:r w:rsidRPr="00775B91">
              <w:rPr>
                <w:sz w:val="20"/>
                <w:szCs w:val="20"/>
                <w:lang w:bidi="en-US"/>
              </w:rPr>
              <w:t xml:space="preserve"> be conducted with ASRAC and the NT Weeds branch, </w:t>
            </w:r>
            <w:r>
              <w:rPr>
                <w:sz w:val="20"/>
                <w:szCs w:val="20"/>
                <w:lang w:bidi="en-US"/>
              </w:rPr>
              <w:t>upskilling</w:t>
            </w:r>
            <w:r w:rsidRPr="00775B91">
              <w:rPr>
                <w:sz w:val="20"/>
                <w:szCs w:val="20"/>
                <w:lang w:bidi="en-US"/>
              </w:rPr>
              <w:t xml:space="preserve"> rangers in survey methodology. </w:t>
            </w:r>
            <w:r>
              <w:rPr>
                <w:sz w:val="20"/>
                <w:szCs w:val="20"/>
                <w:lang w:bidi="en-US"/>
              </w:rPr>
              <w:t xml:space="preserve">Aerial </w:t>
            </w:r>
            <w:r w:rsidRPr="00775B91">
              <w:rPr>
                <w:sz w:val="20"/>
                <w:szCs w:val="20"/>
                <w:lang w:bidi="en-US"/>
              </w:rPr>
              <w:t>spraying of the control line and southern incursions</w:t>
            </w:r>
            <w:r>
              <w:rPr>
                <w:sz w:val="20"/>
                <w:szCs w:val="20"/>
                <w:lang w:bidi="en-US"/>
              </w:rPr>
              <w:t xml:space="preserve"> will follow</w:t>
            </w:r>
            <w:r w:rsidRPr="00775B91">
              <w:rPr>
                <w:sz w:val="20"/>
                <w:szCs w:val="20"/>
                <w:lang w:bidi="en-US"/>
              </w:rPr>
              <w:t>.</w:t>
            </w:r>
          </w:p>
        </w:tc>
        <w:tc>
          <w:tcPr>
            <w:tcW w:w="1257" w:type="dxa"/>
          </w:tcPr>
          <w:p w:rsidR="00775B91" w:rsidRPr="00EE2054" w:rsidRDefault="00775B91" w:rsidP="00996655">
            <w:pPr>
              <w:rPr>
                <w:sz w:val="20"/>
                <w:szCs w:val="20"/>
                <w:lang w:bidi="en-US"/>
              </w:rPr>
            </w:pPr>
            <w:r>
              <w:rPr>
                <w:sz w:val="20"/>
                <w:szCs w:val="20"/>
                <w:lang w:bidi="en-US"/>
              </w:rPr>
              <w:t>2 years</w:t>
            </w:r>
          </w:p>
        </w:tc>
      </w:tr>
      <w:tr w:rsidR="00775B91" w:rsidTr="00636208">
        <w:tc>
          <w:tcPr>
            <w:tcW w:w="1538" w:type="dxa"/>
          </w:tcPr>
          <w:p w:rsidR="00775B91" w:rsidRPr="00EE2054" w:rsidRDefault="00775B91" w:rsidP="00996655">
            <w:pPr>
              <w:rPr>
                <w:sz w:val="20"/>
                <w:szCs w:val="20"/>
                <w:lang w:bidi="en-US"/>
              </w:rPr>
            </w:pPr>
            <w:proofErr w:type="spellStart"/>
            <w:r w:rsidRPr="00775B91">
              <w:rPr>
                <w:sz w:val="20"/>
                <w:szCs w:val="20"/>
                <w:lang w:bidi="en-US"/>
              </w:rPr>
              <w:t>Mimal</w:t>
            </w:r>
            <w:proofErr w:type="spellEnd"/>
            <w:r w:rsidRPr="00775B91">
              <w:rPr>
                <w:sz w:val="20"/>
                <w:szCs w:val="20"/>
                <w:lang w:bidi="en-US"/>
              </w:rPr>
              <w:t xml:space="preserve"> Land Management Aboriginal Corporation</w:t>
            </w:r>
          </w:p>
        </w:tc>
        <w:tc>
          <w:tcPr>
            <w:tcW w:w="1599" w:type="dxa"/>
          </w:tcPr>
          <w:p w:rsidR="00775B91" w:rsidRPr="00EE2054" w:rsidRDefault="00775B91" w:rsidP="00996655">
            <w:pPr>
              <w:rPr>
                <w:sz w:val="20"/>
                <w:szCs w:val="20"/>
                <w:lang w:bidi="en-US"/>
              </w:rPr>
            </w:pPr>
            <w:r w:rsidRPr="00775B91">
              <w:rPr>
                <w:sz w:val="20"/>
                <w:szCs w:val="20"/>
                <w:lang w:bidi="en-US"/>
              </w:rPr>
              <w:t xml:space="preserve">Strengthening </w:t>
            </w:r>
            <w:proofErr w:type="spellStart"/>
            <w:r w:rsidRPr="00775B91">
              <w:rPr>
                <w:sz w:val="20"/>
                <w:szCs w:val="20"/>
                <w:lang w:bidi="en-US"/>
              </w:rPr>
              <w:t>Mimal</w:t>
            </w:r>
            <w:proofErr w:type="spellEnd"/>
            <w:r w:rsidRPr="00775B91">
              <w:rPr>
                <w:sz w:val="20"/>
                <w:szCs w:val="20"/>
                <w:lang w:bidi="en-US"/>
              </w:rPr>
              <w:t xml:space="preserve"> Governance of </w:t>
            </w:r>
            <w:r>
              <w:rPr>
                <w:sz w:val="20"/>
                <w:szCs w:val="20"/>
                <w:lang w:bidi="en-US"/>
              </w:rPr>
              <w:t xml:space="preserve">the Indigenous Protected Area </w:t>
            </w:r>
            <w:r w:rsidRPr="00775B91">
              <w:rPr>
                <w:sz w:val="20"/>
                <w:szCs w:val="20"/>
                <w:lang w:bidi="en-US"/>
              </w:rPr>
              <w:t xml:space="preserve">– Enabling dispersed communities and cohorts to have representation, voice, </w:t>
            </w:r>
            <w:r w:rsidR="000A270B">
              <w:rPr>
                <w:sz w:val="20"/>
                <w:szCs w:val="20"/>
                <w:lang w:bidi="en-US"/>
              </w:rPr>
              <w:t>and participation in governance</w:t>
            </w:r>
            <w:r w:rsidRPr="00775B91">
              <w:rPr>
                <w:sz w:val="20"/>
                <w:szCs w:val="20"/>
                <w:lang w:bidi="en-US"/>
              </w:rPr>
              <w:t>.</w:t>
            </w:r>
          </w:p>
        </w:tc>
        <w:tc>
          <w:tcPr>
            <w:tcW w:w="5914" w:type="dxa"/>
          </w:tcPr>
          <w:p w:rsidR="00775B91" w:rsidRPr="00775B91" w:rsidRDefault="00775B91" w:rsidP="00775B91">
            <w:pPr>
              <w:rPr>
                <w:sz w:val="20"/>
                <w:szCs w:val="20"/>
                <w:lang w:bidi="en-US"/>
              </w:rPr>
            </w:pPr>
            <w:r w:rsidRPr="00775B91">
              <w:rPr>
                <w:sz w:val="20"/>
                <w:szCs w:val="20"/>
                <w:lang w:bidi="en-US"/>
              </w:rPr>
              <w:t xml:space="preserve">Effective and inclusive good governance practices enable positive outcomes across all </w:t>
            </w:r>
            <w:proofErr w:type="spellStart"/>
            <w:r w:rsidRPr="00775B91">
              <w:rPr>
                <w:sz w:val="20"/>
                <w:szCs w:val="20"/>
                <w:lang w:bidi="en-US"/>
              </w:rPr>
              <w:t>Mimal</w:t>
            </w:r>
            <w:proofErr w:type="spellEnd"/>
            <w:r w:rsidRPr="00775B91">
              <w:rPr>
                <w:sz w:val="20"/>
                <w:szCs w:val="20"/>
                <w:lang w:bidi="en-US"/>
              </w:rPr>
              <w:t xml:space="preserve"> </w:t>
            </w:r>
            <w:r>
              <w:rPr>
                <w:sz w:val="20"/>
                <w:szCs w:val="20"/>
                <w:lang w:bidi="en-US"/>
              </w:rPr>
              <w:t xml:space="preserve">programs delivered by Rangers (Men and Women) </w:t>
            </w:r>
            <w:r w:rsidRPr="00775B91">
              <w:rPr>
                <w:sz w:val="20"/>
                <w:szCs w:val="20"/>
                <w:lang w:bidi="en-US"/>
              </w:rPr>
              <w:t>in land management, conservation, and cultural outcomes.</w:t>
            </w:r>
            <w:r>
              <w:t xml:space="preserve"> </w:t>
            </w:r>
            <w:r w:rsidRPr="00775B91">
              <w:rPr>
                <w:sz w:val="20"/>
                <w:szCs w:val="20"/>
                <w:lang w:bidi="en-US"/>
              </w:rPr>
              <w:t xml:space="preserve">Good governance across these programs helps to keep us focused on priorities, charts how to deal with threats, and seize opportunities to build strong and empowered communities, respect </w:t>
            </w:r>
            <w:proofErr w:type="spellStart"/>
            <w:r w:rsidRPr="00775B91">
              <w:rPr>
                <w:sz w:val="20"/>
                <w:szCs w:val="20"/>
                <w:lang w:bidi="en-US"/>
              </w:rPr>
              <w:t>mens</w:t>
            </w:r>
            <w:proofErr w:type="spellEnd"/>
            <w:r w:rsidRPr="00775B91">
              <w:rPr>
                <w:sz w:val="20"/>
                <w:szCs w:val="20"/>
                <w:lang w:bidi="en-US"/>
              </w:rPr>
              <w:t xml:space="preserve"> and women's programs in culture, build community, strengthen connections across generations, build jobs and training opportunities to increase economic participation.</w:t>
            </w:r>
          </w:p>
        </w:tc>
        <w:tc>
          <w:tcPr>
            <w:tcW w:w="1257" w:type="dxa"/>
          </w:tcPr>
          <w:p w:rsidR="00775B91" w:rsidRPr="00EE2054" w:rsidRDefault="00775B91" w:rsidP="00996655">
            <w:pPr>
              <w:rPr>
                <w:sz w:val="20"/>
                <w:szCs w:val="20"/>
                <w:lang w:bidi="en-US"/>
              </w:rPr>
            </w:pPr>
            <w:r>
              <w:rPr>
                <w:sz w:val="20"/>
                <w:szCs w:val="20"/>
                <w:lang w:bidi="en-US"/>
              </w:rPr>
              <w:t>2 years</w:t>
            </w:r>
          </w:p>
        </w:tc>
      </w:tr>
      <w:tr w:rsidR="005D79C8" w:rsidTr="00636208">
        <w:tc>
          <w:tcPr>
            <w:tcW w:w="1538" w:type="dxa"/>
          </w:tcPr>
          <w:p w:rsidR="005D79C8" w:rsidRPr="00EE2054" w:rsidRDefault="00EE2054" w:rsidP="00996655">
            <w:pPr>
              <w:rPr>
                <w:sz w:val="20"/>
                <w:szCs w:val="20"/>
                <w:lang w:bidi="en-US"/>
              </w:rPr>
            </w:pPr>
            <w:r w:rsidRPr="00EE2054">
              <w:rPr>
                <w:sz w:val="20"/>
                <w:szCs w:val="20"/>
                <w:lang w:bidi="en-US"/>
              </w:rPr>
              <w:t xml:space="preserve">Arafura Swamp </w:t>
            </w:r>
            <w:r w:rsidRPr="00EE2054">
              <w:rPr>
                <w:sz w:val="20"/>
                <w:szCs w:val="20"/>
                <w:lang w:bidi="en-US"/>
              </w:rPr>
              <w:lastRenderedPageBreak/>
              <w:t>Rangers Aboriginal Corporation</w:t>
            </w:r>
          </w:p>
        </w:tc>
        <w:tc>
          <w:tcPr>
            <w:tcW w:w="1599" w:type="dxa"/>
          </w:tcPr>
          <w:p w:rsidR="005D79C8" w:rsidRPr="00EE2054" w:rsidRDefault="00EE2054" w:rsidP="00996655">
            <w:pPr>
              <w:rPr>
                <w:sz w:val="20"/>
                <w:szCs w:val="20"/>
                <w:lang w:bidi="en-US"/>
              </w:rPr>
            </w:pPr>
            <w:r w:rsidRPr="00EE2054">
              <w:rPr>
                <w:sz w:val="20"/>
                <w:szCs w:val="20"/>
                <w:lang w:bidi="en-US"/>
              </w:rPr>
              <w:lastRenderedPageBreak/>
              <w:t xml:space="preserve">Build internal capacity for </w:t>
            </w:r>
            <w:r w:rsidRPr="00EE2054">
              <w:rPr>
                <w:sz w:val="20"/>
                <w:szCs w:val="20"/>
                <w:lang w:bidi="en-US"/>
              </w:rPr>
              <w:lastRenderedPageBreak/>
              <w:t>feral animal management through practical control of feral pigs on the Arafura Swamp</w:t>
            </w:r>
          </w:p>
        </w:tc>
        <w:tc>
          <w:tcPr>
            <w:tcW w:w="5914" w:type="dxa"/>
          </w:tcPr>
          <w:p w:rsidR="005D79C8" w:rsidRPr="00EE2054" w:rsidRDefault="00775B91" w:rsidP="00775B91">
            <w:pPr>
              <w:rPr>
                <w:sz w:val="20"/>
                <w:szCs w:val="20"/>
                <w:lang w:bidi="en-US"/>
              </w:rPr>
            </w:pPr>
            <w:r w:rsidRPr="00775B91">
              <w:rPr>
                <w:sz w:val="20"/>
                <w:szCs w:val="20"/>
                <w:lang w:bidi="en-US"/>
              </w:rPr>
              <w:lastRenderedPageBreak/>
              <w:t xml:space="preserve">The 2022 mid-term review of the Arafura Swamp Ranger’s Healthy Country Plan cited the damage caused by feral animals </w:t>
            </w:r>
            <w:r w:rsidRPr="00775B91">
              <w:rPr>
                <w:sz w:val="20"/>
                <w:szCs w:val="20"/>
                <w:lang w:bidi="en-US"/>
              </w:rPr>
              <w:lastRenderedPageBreak/>
              <w:t>to the region as one of the most significant issues for TOs, and one of increasing concern due to growing feral numbers. TOs have strongly advocated that they want Yolngu to lead the feral pig control program and not rely on outside expertise</w:t>
            </w:r>
            <w:r>
              <w:rPr>
                <w:sz w:val="20"/>
                <w:szCs w:val="20"/>
                <w:lang w:bidi="en-US"/>
              </w:rPr>
              <w:t>. This grant will fund</w:t>
            </w:r>
            <w:r w:rsidRPr="00775B91">
              <w:rPr>
                <w:sz w:val="20"/>
                <w:szCs w:val="20"/>
                <w:lang w:bidi="en-US"/>
              </w:rPr>
              <w:t xml:space="preserve"> for four </w:t>
            </w:r>
            <w:r>
              <w:rPr>
                <w:sz w:val="20"/>
                <w:szCs w:val="20"/>
                <w:lang w:bidi="en-US"/>
              </w:rPr>
              <w:t xml:space="preserve">ASRAC </w:t>
            </w:r>
            <w:r w:rsidRPr="00775B91">
              <w:rPr>
                <w:sz w:val="20"/>
                <w:szCs w:val="20"/>
                <w:lang w:bidi="en-US"/>
              </w:rPr>
              <w:t>Aboriginal Rangers to upgrade their shooting licences and undertake certified practical training in aerial shooting.</w:t>
            </w:r>
          </w:p>
        </w:tc>
        <w:tc>
          <w:tcPr>
            <w:tcW w:w="1257" w:type="dxa"/>
          </w:tcPr>
          <w:p w:rsidR="005D79C8" w:rsidRPr="00EE2054" w:rsidRDefault="00636208" w:rsidP="00996655">
            <w:pPr>
              <w:rPr>
                <w:sz w:val="20"/>
                <w:szCs w:val="20"/>
                <w:lang w:bidi="en-US"/>
              </w:rPr>
            </w:pPr>
            <w:r>
              <w:rPr>
                <w:sz w:val="20"/>
                <w:szCs w:val="20"/>
                <w:lang w:bidi="en-US"/>
              </w:rPr>
              <w:lastRenderedPageBreak/>
              <w:t>1 year</w:t>
            </w:r>
          </w:p>
        </w:tc>
      </w:tr>
      <w:tr w:rsidR="005D79C8" w:rsidTr="00636208">
        <w:tc>
          <w:tcPr>
            <w:tcW w:w="1538" w:type="dxa"/>
          </w:tcPr>
          <w:p w:rsidR="005D79C8" w:rsidRPr="00EE2054" w:rsidRDefault="00775B91" w:rsidP="00996655">
            <w:pPr>
              <w:rPr>
                <w:sz w:val="20"/>
                <w:szCs w:val="20"/>
                <w:lang w:bidi="en-US"/>
              </w:rPr>
            </w:pPr>
            <w:proofErr w:type="spellStart"/>
            <w:r w:rsidRPr="00775B91">
              <w:rPr>
                <w:sz w:val="20"/>
                <w:szCs w:val="20"/>
                <w:lang w:bidi="en-US"/>
              </w:rPr>
              <w:t>Thamarrurr</w:t>
            </w:r>
            <w:proofErr w:type="spellEnd"/>
            <w:r w:rsidRPr="00775B91">
              <w:rPr>
                <w:sz w:val="20"/>
                <w:szCs w:val="20"/>
                <w:lang w:bidi="en-US"/>
              </w:rPr>
              <w:t xml:space="preserve"> Development Corporation Ltd</w:t>
            </w:r>
          </w:p>
        </w:tc>
        <w:tc>
          <w:tcPr>
            <w:tcW w:w="1599" w:type="dxa"/>
          </w:tcPr>
          <w:p w:rsidR="005D79C8" w:rsidRPr="00EE2054" w:rsidRDefault="00775B91" w:rsidP="00996655">
            <w:pPr>
              <w:rPr>
                <w:sz w:val="20"/>
                <w:szCs w:val="20"/>
                <w:lang w:bidi="en-US"/>
              </w:rPr>
            </w:pPr>
            <w:r w:rsidRPr="00775B91">
              <w:rPr>
                <w:sz w:val="20"/>
                <w:szCs w:val="20"/>
                <w:lang w:bidi="en-US"/>
              </w:rPr>
              <w:t>Feral animal management to protect natural habitat and cultural sites</w:t>
            </w:r>
          </w:p>
        </w:tc>
        <w:tc>
          <w:tcPr>
            <w:tcW w:w="5914" w:type="dxa"/>
          </w:tcPr>
          <w:p w:rsidR="00775B91" w:rsidRPr="00EE2054" w:rsidRDefault="00775B91" w:rsidP="00775B91">
            <w:pPr>
              <w:rPr>
                <w:rFonts w:asciiTheme="minorHAnsi" w:hAnsiTheme="minorHAnsi" w:cs="Calibri"/>
                <w:color w:val="000000"/>
                <w:sz w:val="20"/>
                <w:szCs w:val="20"/>
              </w:rPr>
            </w:pPr>
            <w:proofErr w:type="spellStart"/>
            <w:r>
              <w:rPr>
                <w:rFonts w:asciiTheme="minorHAnsi" w:hAnsiTheme="minorHAnsi" w:cs="Calibri"/>
                <w:color w:val="000000"/>
                <w:sz w:val="20"/>
                <w:szCs w:val="20"/>
              </w:rPr>
              <w:t>Thamarrurr</w:t>
            </w:r>
            <w:proofErr w:type="spellEnd"/>
            <w:r>
              <w:rPr>
                <w:rFonts w:asciiTheme="minorHAnsi" w:hAnsiTheme="minorHAnsi" w:cs="Calibri"/>
                <w:color w:val="000000"/>
                <w:sz w:val="20"/>
                <w:szCs w:val="20"/>
              </w:rPr>
              <w:t xml:space="preserve"> will</w:t>
            </w:r>
            <w:r w:rsidRPr="00775B91">
              <w:rPr>
                <w:rFonts w:asciiTheme="minorHAnsi" w:hAnsiTheme="minorHAnsi" w:cs="Calibri"/>
                <w:color w:val="000000"/>
                <w:sz w:val="20"/>
                <w:szCs w:val="20"/>
              </w:rPr>
              <w:t xml:space="preserve"> address the escalating threat posed by feral animal populations in the </w:t>
            </w:r>
            <w:proofErr w:type="spellStart"/>
            <w:r w:rsidRPr="00775B91">
              <w:rPr>
                <w:rFonts w:asciiTheme="minorHAnsi" w:hAnsiTheme="minorHAnsi" w:cs="Calibri"/>
                <w:color w:val="000000"/>
                <w:sz w:val="20"/>
                <w:szCs w:val="20"/>
              </w:rPr>
              <w:t>Madjellindi</w:t>
            </w:r>
            <w:proofErr w:type="spellEnd"/>
            <w:r w:rsidRPr="00775B91">
              <w:rPr>
                <w:rFonts w:asciiTheme="minorHAnsi" w:hAnsiTheme="minorHAnsi" w:cs="Calibri"/>
                <w:color w:val="000000"/>
                <w:sz w:val="20"/>
                <w:szCs w:val="20"/>
              </w:rPr>
              <w:t xml:space="preserve"> valley and the Moyle River flood plain areas</w:t>
            </w:r>
            <w:r>
              <w:rPr>
                <w:rFonts w:asciiTheme="minorHAnsi" w:hAnsiTheme="minorHAnsi" w:cs="Calibri"/>
                <w:color w:val="000000"/>
                <w:sz w:val="20"/>
                <w:szCs w:val="20"/>
              </w:rPr>
              <w:t xml:space="preserve"> through</w:t>
            </w:r>
            <w:r w:rsidRPr="00775B91">
              <w:rPr>
                <w:rFonts w:asciiTheme="minorHAnsi" w:hAnsiTheme="minorHAnsi" w:cs="Calibri"/>
                <w:color w:val="000000"/>
                <w:sz w:val="20"/>
                <w:szCs w:val="20"/>
              </w:rPr>
              <w:t>:</w:t>
            </w:r>
            <w:r>
              <w:rPr>
                <w:rFonts w:asciiTheme="minorHAnsi" w:hAnsiTheme="minorHAnsi" w:cs="Calibri"/>
                <w:color w:val="000000"/>
                <w:sz w:val="20"/>
                <w:szCs w:val="20"/>
              </w:rPr>
              <w:br/>
            </w:r>
            <w:r w:rsidRPr="00775B91">
              <w:rPr>
                <w:rFonts w:asciiTheme="minorHAnsi" w:hAnsiTheme="minorHAnsi" w:cs="Calibri"/>
                <w:color w:val="000000"/>
                <w:sz w:val="20"/>
                <w:szCs w:val="20"/>
              </w:rPr>
              <w:t>1. Aerial Survey – Engaging specialised contractors to conduct an aerial survey of feral animal populations, producing a report with management recommendations.</w:t>
            </w:r>
            <w:r>
              <w:rPr>
                <w:rFonts w:asciiTheme="minorHAnsi" w:hAnsiTheme="minorHAnsi" w:cs="Calibri"/>
                <w:color w:val="000000"/>
                <w:sz w:val="20"/>
                <w:szCs w:val="20"/>
              </w:rPr>
              <w:br/>
            </w:r>
            <w:r w:rsidRPr="00775B91">
              <w:rPr>
                <w:rFonts w:asciiTheme="minorHAnsi" w:hAnsiTheme="minorHAnsi" w:cs="Calibri"/>
                <w:color w:val="000000"/>
                <w:sz w:val="20"/>
                <w:szCs w:val="20"/>
              </w:rPr>
              <w:t>2. Aerial Cull - Informed by the survey, a precise aerial cull will be carried out to reduce feral animal populations.</w:t>
            </w:r>
            <w:r>
              <w:rPr>
                <w:rFonts w:asciiTheme="minorHAnsi" w:hAnsiTheme="minorHAnsi" w:cs="Calibri"/>
                <w:color w:val="000000"/>
                <w:sz w:val="20"/>
                <w:szCs w:val="20"/>
              </w:rPr>
              <w:br/>
            </w:r>
            <w:r w:rsidRPr="00775B91">
              <w:rPr>
                <w:rFonts w:asciiTheme="minorHAnsi" w:hAnsiTheme="minorHAnsi" w:cs="Calibri"/>
                <w:color w:val="000000"/>
                <w:sz w:val="20"/>
                <w:szCs w:val="20"/>
              </w:rPr>
              <w:t>3. Cultural Site Protection – Install portable fencing at the identified cultural sites and monitor for improvements.</w:t>
            </w:r>
          </w:p>
        </w:tc>
        <w:tc>
          <w:tcPr>
            <w:tcW w:w="1257" w:type="dxa"/>
          </w:tcPr>
          <w:p w:rsidR="005D79C8" w:rsidRPr="00EE2054" w:rsidRDefault="00636208" w:rsidP="00996655">
            <w:pPr>
              <w:rPr>
                <w:sz w:val="20"/>
                <w:szCs w:val="20"/>
                <w:lang w:bidi="en-US"/>
              </w:rPr>
            </w:pPr>
            <w:r>
              <w:rPr>
                <w:sz w:val="20"/>
                <w:szCs w:val="20"/>
                <w:lang w:bidi="en-US"/>
              </w:rPr>
              <w:t>2 years</w:t>
            </w:r>
          </w:p>
        </w:tc>
      </w:tr>
      <w:tr w:rsidR="005D79C8" w:rsidTr="00636208">
        <w:tc>
          <w:tcPr>
            <w:tcW w:w="1538" w:type="dxa"/>
          </w:tcPr>
          <w:p w:rsidR="005D79C8" w:rsidRPr="00EE2054" w:rsidRDefault="00775B91" w:rsidP="00996655">
            <w:pPr>
              <w:rPr>
                <w:sz w:val="20"/>
                <w:szCs w:val="20"/>
                <w:lang w:bidi="en-US"/>
              </w:rPr>
            </w:pPr>
            <w:r w:rsidRPr="00775B91">
              <w:rPr>
                <w:sz w:val="20"/>
                <w:szCs w:val="20"/>
                <w:lang w:bidi="en-US"/>
              </w:rPr>
              <w:t>Gong-Dal Aboriginal Corporation</w:t>
            </w:r>
          </w:p>
        </w:tc>
        <w:tc>
          <w:tcPr>
            <w:tcW w:w="1599" w:type="dxa"/>
          </w:tcPr>
          <w:p w:rsidR="005D79C8" w:rsidRPr="00EE2054" w:rsidRDefault="00775B91" w:rsidP="00996655">
            <w:pPr>
              <w:rPr>
                <w:sz w:val="20"/>
                <w:szCs w:val="20"/>
                <w:lang w:bidi="en-US"/>
              </w:rPr>
            </w:pPr>
            <w:r w:rsidRPr="00775B91">
              <w:rPr>
                <w:sz w:val="20"/>
                <w:szCs w:val="20"/>
                <w:lang w:bidi="en-US"/>
              </w:rPr>
              <w:t xml:space="preserve">Western </w:t>
            </w:r>
            <w:proofErr w:type="spellStart"/>
            <w:r w:rsidRPr="00775B91">
              <w:rPr>
                <w:sz w:val="20"/>
                <w:szCs w:val="20"/>
                <w:lang w:bidi="en-US"/>
              </w:rPr>
              <w:t>Miyarrka</w:t>
            </w:r>
            <w:proofErr w:type="spellEnd"/>
            <w:r w:rsidRPr="00775B91">
              <w:rPr>
                <w:sz w:val="20"/>
                <w:szCs w:val="20"/>
                <w:lang w:bidi="en-US"/>
              </w:rPr>
              <w:t xml:space="preserve"> Healthy Country Planning &amp; </w:t>
            </w:r>
            <w:proofErr w:type="spellStart"/>
            <w:r w:rsidRPr="00775B91">
              <w:rPr>
                <w:sz w:val="20"/>
                <w:szCs w:val="20"/>
                <w:lang w:bidi="en-US"/>
              </w:rPr>
              <w:t>Mutjung</w:t>
            </w:r>
            <w:proofErr w:type="spellEnd"/>
            <w:r w:rsidRPr="00775B91">
              <w:rPr>
                <w:sz w:val="20"/>
                <w:szCs w:val="20"/>
                <w:lang w:bidi="en-US"/>
              </w:rPr>
              <w:t xml:space="preserve"> Rangers Development</w:t>
            </w:r>
          </w:p>
        </w:tc>
        <w:tc>
          <w:tcPr>
            <w:tcW w:w="5914" w:type="dxa"/>
          </w:tcPr>
          <w:p w:rsidR="005D79C8" w:rsidRPr="00EE2054" w:rsidRDefault="002B4591" w:rsidP="002B4591">
            <w:pPr>
              <w:rPr>
                <w:sz w:val="20"/>
                <w:szCs w:val="20"/>
                <w:lang w:bidi="en-US"/>
              </w:rPr>
            </w:pPr>
            <w:r w:rsidRPr="002B4591">
              <w:rPr>
                <w:sz w:val="20"/>
                <w:szCs w:val="20"/>
                <w:lang w:bidi="en-US"/>
              </w:rPr>
              <w:t xml:space="preserve">GDAC and </w:t>
            </w:r>
            <w:proofErr w:type="spellStart"/>
            <w:r w:rsidRPr="002B4591">
              <w:rPr>
                <w:sz w:val="20"/>
                <w:szCs w:val="20"/>
                <w:lang w:bidi="en-US"/>
              </w:rPr>
              <w:t>Waṯangu</w:t>
            </w:r>
            <w:proofErr w:type="spellEnd"/>
            <w:r w:rsidRPr="002B4591">
              <w:rPr>
                <w:sz w:val="20"/>
                <w:szCs w:val="20"/>
                <w:lang w:bidi="en-US"/>
              </w:rPr>
              <w:t xml:space="preserve"> Mala</w:t>
            </w:r>
            <w:r>
              <w:rPr>
                <w:sz w:val="20"/>
                <w:szCs w:val="20"/>
                <w:lang w:bidi="en-US"/>
              </w:rPr>
              <w:t xml:space="preserve"> have already drafted</w:t>
            </w:r>
            <w:r w:rsidR="00775B91" w:rsidRPr="00775B91">
              <w:rPr>
                <w:sz w:val="20"/>
                <w:szCs w:val="20"/>
                <w:lang w:bidi="en-US"/>
              </w:rPr>
              <w:t xml:space="preserve"> the first 2 stages our HCP including our Vision, Targets and Threats, brainstormed many of our Goals and Indicators and began working on Projects and Strategies. This </w:t>
            </w:r>
            <w:r>
              <w:rPr>
                <w:sz w:val="20"/>
                <w:szCs w:val="20"/>
                <w:lang w:bidi="en-US"/>
              </w:rPr>
              <w:t>grant</w:t>
            </w:r>
            <w:r w:rsidR="00775B91" w:rsidRPr="00775B91">
              <w:rPr>
                <w:sz w:val="20"/>
                <w:szCs w:val="20"/>
                <w:lang w:bidi="en-US"/>
              </w:rPr>
              <w:t xml:space="preserve"> will enable us to complete our HCP which we need to build a skilled ranger team that will deliver professional ranger services to manage our land and sea country while keeping culture strong.</w:t>
            </w:r>
          </w:p>
        </w:tc>
        <w:tc>
          <w:tcPr>
            <w:tcW w:w="1257" w:type="dxa"/>
          </w:tcPr>
          <w:p w:rsidR="005D79C8" w:rsidRPr="00EE2054" w:rsidRDefault="00636208" w:rsidP="00996655">
            <w:pPr>
              <w:rPr>
                <w:sz w:val="20"/>
                <w:szCs w:val="20"/>
                <w:lang w:bidi="en-US"/>
              </w:rPr>
            </w:pPr>
            <w:r>
              <w:rPr>
                <w:sz w:val="20"/>
                <w:szCs w:val="20"/>
                <w:lang w:bidi="en-US"/>
              </w:rPr>
              <w:t>1 year</w:t>
            </w:r>
          </w:p>
        </w:tc>
      </w:tr>
      <w:tr w:rsidR="005D79C8" w:rsidTr="00636208">
        <w:tc>
          <w:tcPr>
            <w:tcW w:w="1538" w:type="dxa"/>
          </w:tcPr>
          <w:p w:rsidR="005D79C8" w:rsidRPr="00EE2054" w:rsidRDefault="00636208" w:rsidP="00996655">
            <w:pPr>
              <w:rPr>
                <w:sz w:val="20"/>
                <w:szCs w:val="20"/>
                <w:lang w:bidi="en-US"/>
              </w:rPr>
            </w:pPr>
            <w:r w:rsidRPr="00636208">
              <w:rPr>
                <w:sz w:val="20"/>
                <w:szCs w:val="20"/>
                <w:lang w:bidi="en-US"/>
              </w:rPr>
              <w:t>Northern Land Council</w:t>
            </w:r>
          </w:p>
        </w:tc>
        <w:tc>
          <w:tcPr>
            <w:tcW w:w="1599" w:type="dxa"/>
          </w:tcPr>
          <w:p w:rsidR="005D79C8" w:rsidRPr="00EE2054" w:rsidRDefault="00636208" w:rsidP="00996655">
            <w:pPr>
              <w:rPr>
                <w:sz w:val="20"/>
                <w:szCs w:val="20"/>
                <w:lang w:bidi="en-US"/>
              </w:rPr>
            </w:pPr>
            <w:r w:rsidRPr="00636208">
              <w:rPr>
                <w:sz w:val="20"/>
                <w:szCs w:val="20"/>
                <w:lang w:bidi="en-US"/>
              </w:rPr>
              <w:t>Increasing Women’s Participation in the NLC Caring for Country Workforce</w:t>
            </w:r>
          </w:p>
        </w:tc>
        <w:tc>
          <w:tcPr>
            <w:tcW w:w="5914" w:type="dxa"/>
          </w:tcPr>
          <w:p w:rsidR="005D79C8" w:rsidRPr="00EE2054" w:rsidRDefault="00636208" w:rsidP="00996655">
            <w:pPr>
              <w:rPr>
                <w:sz w:val="20"/>
                <w:szCs w:val="20"/>
                <w:lang w:bidi="en-US"/>
              </w:rPr>
            </w:pPr>
            <w:r w:rsidRPr="001267E1">
              <w:rPr>
                <w:sz w:val="20"/>
                <w:szCs w:val="20"/>
              </w:rPr>
              <w:t>There are many benefits for communities and families where women’s cultural relationships with land and sea are acknowledged, practiced and</w:t>
            </w:r>
            <w:r w:rsidR="001A47D1">
              <w:rPr>
                <w:sz w:val="20"/>
                <w:szCs w:val="20"/>
              </w:rPr>
              <w:t xml:space="preserve"> valued. The previous NLC Women’s</w:t>
            </w:r>
            <w:bookmarkStart w:id="2" w:name="_GoBack"/>
            <w:bookmarkEnd w:id="2"/>
            <w:r w:rsidRPr="001267E1">
              <w:rPr>
                <w:sz w:val="20"/>
                <w:szCs w:val="20"/>
              </w:rPr>
              <w:t xml:space="preserve"> Strategy and Action Plan are nearing expiry, however there remains a strong need to continue the work to engage more women in land and sea management activities, ensuring their priorities, skills, and knowledge are integrated. This grant will employ one FTE (Aboriginal identified) position to revise and update the Strategy</w:t>
            </w:r>
            <w:r w:rsidR="001A47D1">
              <w:rPr>
                <w:sz w:val="20"/>
                <w:szCs w:val="20"/>
              </w:rPr>
              <w:t xml:space="preserve"> </w:t>
            </w:r>
            <w:r w:rsidR="0053398B" w:rsidRPr="0053398B">
              <w:rPr>
                <w:sz w:val="20"/>
                <w:szCs w:val="20"/>
              </w:rPr>
              <w:t xml:space="preserve">and to align closely with Strong Women for Healthy Country </w:t>
            </w:r>
            <w:r w:rsidR="001A47D1">
              <w:rPr>
                <w:sz w:val="20"/>
                <w:szCs w:val="20"/>
              </w:rPr>
              <w:t>Network to create the new Action Plan</w:t>
            </w:r>
            <w:r w:rsidRPr="001267E1">
              <w:rPr>
                <w:sz w:val="20"/>
                <w:szCs w:val="20"/>
              </w:rPr>
              <w:t xml:space="preserve"> and coordinate initiatives.</w:t>
            </w:r>
          </w:p>
        </w:tc>
        <w:tc>
          <w:tcPr>
            <w:tcW w:w="1257" w:type="dxa"/>
          </w:tcPr>
          <w:p w:rsidR="005D79C8" w:rsidRPr="00EE2054" w:rsidRDefault="00636208" w:rsidP="00996655">
            <w:pPr>
              <w:rPr>
                <w:sz w:val="20"/>
                <w:szCs w:val="20"/>
                <w:lang w:bidi="en-US"/>
              </w:rPr>
            </w:pPr>
            <w:r>
              <w:rPr>
                <w:sz w:val="20"/>
                <w:szCs w:val="20"/>
                <w:lang w:bidi="en-US"/>
              </w:rPr>
              <w:t>2 years</w:t>
            </w:r>
          </w:p>
        </w:tc>
      </w:tr>
      <w:tr w:rsidR="005D79C8" w:rsidTr="00636208">
        <w:tc>
          <w:tcPr>
            <w:tcW w:w="1538" w:type="dxa"/>
          </w:tcPr>
          <w:p w:rsidR="005D79C8" w:rsidRPr="00EE2054" w:rsidRDefault="00636208" w:rsidP="00625A8C">
            <w:pPr>
              <w:rPr>
                <w:sz w:val="20"/>
                <w:szCs w:val="20"/>
                <w:lang w:bidi="en-US"/>
              </w:rPr>
            </w:pPr>
            <w:r>
              <w:rPr>
                <w:sz w:val="20"/>
                <w:szCs w:val="20"/>
                <w:lang w:bidi="en-US"/>
              </w:rPr>
              <w:t>MOPRA – Crocodile Island Rangers</w:t>
            </w:r>
          </w:p>
        </w:tc>
        <w:tc>
          <w:tcPr>
            <w:tcW w:w="1599" w:type="dxa"/>
          </w:tcPr>
          <w:p w:rsidR="005D79C8" w:rsidRPr="00EE2054" w:rsidRDefault="00636208" w:rsidP="00996655">
            <w:pPr>
              <w:rPr>
                <w:sz w:val="20"/>
                <w:szCs w:val="20"/>
                <w:lang w:bidi="en-US"/>
              </w:rPr>
            </w:pPr>
            <w:r w:rsidRPr="00636208">
              <w:rPr>
                <w:sz w:val="20"/>
                <w:szCs w:val="20"/>
                <w:lang w:bidi="en-US"/>
              </w:rPr>
              <w:t>Aerial Cull of Feral Pigs at Howard Island</w:t>
            </w:r>
          </w:p>
        </w:tc>
        <w:tc>
          <w:tcPr>
            <w:tcW w:w="5914" w:type="dxa"/>
          </w:tcPr>
          <w:p w:rsidR="005D79C8" w:rsidRPr="00EE2054" w:rsidRDefault="00636208" w:rsidP="00636208">
            <w:pPr>
              <w:rPr>
                <w:sz w:val="20"/>
                <w:szCs w:val="20"/>
                <w:lang w:bidi="en-US"/>
              </w:rPr>
            </w:pPr>
            <w:r w:rsidRPr="00636208">
              <w:rPr>
                <w:sz w:val="20"/>
                <w:szCs w:val="20"/>
                <w:lang w:bidi="en-US"/>
              </w:rPr>
              <w:t xml:space="preserve">Feral pigs are of increasing concern to residents of </w:t>
            </w:r>
            <w:proofErr w:type="spellStart"/>
            <w:r w:rsidRPr="00636208">
              <w:rPr>
                <w:sz w:val="20"/>
                <w:szCs w:val="20"/>
                <w:lang w:bidi="en-US"/>
              </w:rPr>
              <w:t>Langarra</w:t>
            </w:r>
            <w:proofErr w:type="spellEnd"/>
            <w:r w:rsidRPr="00636208">
              <w:rPr>
                <w:sz w:val="20"/>
                <w:szCs w:val="20"/>
                <w:lang w:bidi="en-US"/>
              </w:rPr>
              <w:t xml:space="preserve"> Outstation, located at Howard Island.</w:t>
            </w:r>
            <w:r>
              <w:t xml:space="preserve"> </w:t>
            </w:r>
            <w:r w:rsidRPr="00636208">
              <w:rPr>
                <w:sz w:val="20"/>
                <w:szCs w:val="20"/>
                <w:lang w:bidi="en-US"/>
              </w:rPr>
              <w:t>Recent biodiversity surveys conducted by the Crocodile Islands Rangers</w:t>
            </w:r>
            <w:r>
              <w:rPr>
                <w:sz w:val="20"/>
                <w:szCs w:val="20"/>
                <w:lang w:bidi="en-US"/>
              </w:rPr>
              <w:t xml:space="preserve"> </w:t>
            </w:r>
            <w:r w:rsidRPr="00636208">
              <w:rPr>
                <w:sz w:val="20"/>
                <w:szCs w:val="20"/>
                <w:lang w:bidi="en-US"/>
              </w:rPr>
              <w:t>showed the extent of damage to wetland and fringing habitat.</w:t>
            </w:r>
            <w:r>
              <w:rPr>
                <w:sz w:val="20"/>
                <w:szCs w:val="20"/>
                <w:lang w:bidi="en-US"/>
              </w:rPr>
              <w:t xml:space="preserve"> </w:t>
            </w:r>
            <w:r w:rsidRPr="00636208">
              <w:rPr>
                <w:sz w:val="20"/>
                <w:szCs w:val="20"/>
                <w:lang w:bidi="en-US"/>
              </w:rPr>
              <w:t>In order to remove numbers below the breeding rate, best practice calls for a &gt;70% reduction in total population, each year.</w:t>
            </w:r>
            <w:r>
              <w:rPr>
                <w:sz w:val="20"/>
                <w:szCs w:val="20"/>
                <w:lang w:bidi="en-US"/>
              </w:rPr>
              <w:t xml:space="preserve"> This grant will fund the 2024 cull.</w:t>
            </w:r>
          </w:p>
        </w:tc>
        <w:tc>
          <w:tcPr>
            <w:tcW w:w="1257" w:type="dxa"/>
          </w:tcPr>
          <w:p w:rsidR="005D79C8" w:rsidRPr="00EE2054" w:rsidRDefault="00636208" w:rsidP="00996655">
            <w:pPr>
              <w:rPr>
                <w:sz w:val="20"/>
                <w:szCs w:val="20"/>
                <w:lang w:bidi="en-US"/>
              </w:rPr>
            </w:pPr>
            <w:r>
              <w:rPr>
                <w:sz w:val="20"/>
                <w:szCs w:val="20"/>
                <w:lang w:bidi="en-US"/>
              </w:rPr>
              <w:t>1 year</w:t>
            </w:r>
          </w:p>
        </w:tc>
      </w:tr>
    </w:tbl>
    <w:p w:rsidR="006A2F2D" w:rsidRPr="00996655" w:rsidRDefault="00656921" w:rsidP="00996655">
      <w:pPr>
        <w:rPr>
          <w:lang w:bidi="en-US"/>
        </w:rPr>
      </w:pPr>
      <w:r>
        <w:rPr>
          <w:lang w:bidi="en-US"/>
        </w:rPr>
        <w:t xml:space="preserve"> </w:t>
      </w:r>
    </w:p>
    <w:sectPr w:rsidR="006A2F2D" w:rsidRPr="00996655" w:rsidSect="00CC571B">
      <w:headerReference w:type="default" r:id="rId9"/>
      <w:footerReference w:type="default" r:id="rId10"/>
      <w:footerReference w:type="first" r:id="rId11"/>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00F" w:rsidRDefault="004C700F" w:rsidP="007332FF">
      <w:r>
        <w:separator/>
      </w:r>
    </w:p>
  </w:endnote>
  <w:endnote w:type="continuationSeparator" w:id="0">
    <w:p w:rsidR="004C700F" w:rsidRDefault="004C700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636208" w:rsidRPr="00132658" w:rsidTr="00C73E59">
      <w:trPr>
        <w:cantSplit/>
        <w:trHeight w:hRule="exact" w:val="1134"/>
      </w:trPr>
      <w:tc>
        <w:tcPr>
          <w:tcW w:w="7767" w:type="dxa"/>
          <w:vAlign w:val="bottom"/>
        </w:tcPr>
        <w:p w:rsidR="00636208" w:rsidRDefault="00636208" w:rsidP="00636208">
          <w:pPr>
            <w:spacing w:after="0"/>
            <w:rPr>
              <w:b/>
              <w:sz w:val="19"/>
              <w:szCs w:val="19"/>
            </w:rPr>
          </w:pPr>
          <w:r>
            <w:rPr>
              <w:rStyle w:val="PageNumber"/>
            </w:rPr>
            <w:t xml:space="preserve">Department of </w:t>
          </w:r>
          <w:r w:rsidRPr="004C700F">
            <w:rPr>
              <w:b/>
              <w:sz w:val="19"/>
              <w:szCs w:val="19"/>
            </w:rPr>
            <w:t>Environment, Parks and Water Security</w:t>
          </w:r>
        </w:p>
        <w:p w:rsidR="00636208" w:rsidRPr="004C700F" w:rsidRDefault="00636208" w:rsidP="00636208">
          <w:pPr>
            <w:spacing w:after="0"/>
            <w:rPr>
              <w:rStyle w:val="PageNumber"/>
            </w:rPr>
          </w:pPr>
          <w:r>
            <w:rPr>
              <w:sz w:val="19"/>
              <w:szCs w:val="19"/>
            </w:rPr>
            <w:t>2</w:t>
          </w:r>
          <w:r w:rsidRPr="00A73D95">
            <w:rPr>
              <w:sz w:val="19"/>
              <w:szCs w:val="19"/>
              <w:vertAlign w:val="superscript"/>
            </w:rPr>
            <w:t>nd</w:t>
          </w:r>
          <w:r>
            <w:rPr>
              <w:sz w:val="19"/>
              <w:szCs w:val="19"/>
            </w:rPr>
            <w:t xml:space="preserve"> </w:t>
          </w:r>
          <w:proofErr w:type="spellStart"/>
          <w:r>
            <w:rPr>
              <w:sz w:val="19"/>
              <w:szCs w:val="19"/>
            </w:rPr>
            <w:t>Novemner</w:t>
          </w:r>
          <w:proofErr w:type="spellEnd"/>
          <w:r w:rsidRPr="004C700F">
            <w:rPr>
              <w:sz w:val="19"/>
              <w:szCs w:val="19"/>
            </w:rPr>
            <w:t xml:space="preserve"> 2023</w:t>
          </w:r>
        </w:p>
        <w:p w:rsidR="00636208" w:rsidRPr="00CE30CF" w:rsidRDefault="00636208" w:rsidP="00636208">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1A47D1">
            <w:rPr>
              <w:rStyle w:val="PageNumber"/>
              <w:noProof/>
            </w:rPr>
            <w:t>2</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1A47D1">
            <w:rPr>
              <w:rStyle w:val="PageNumber"/>
              <w:noProof/>
            </w:rPr>
            <w:t>2</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rsidR="00636208" w:rsidRPr="001E14EB" w:rsidRDefault="00636208" w:rsidP="00636208">
          <w:pPr>
            <w:spacing w:after="0"/>
            <w:jc w:val="right"/>
          </w:pPr>
          <w:r>
            <w:rPr>
              <w:noProof/>
              <w:lang w:eastAsia="en-AU"/>
            </w:rPr>
            <w:drawing>
              <wp:inline distT="0" distB="0" distL="0" distR="0" wp14:anchorId="2CDA9F8A" wp14:editId="5A274AD2">
                <wp:extent cx="1572479" cy="561600"/>
                <wp:effectExtent l="0" t="0" r="889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CA36A0" w:rsidRPr="00996655" w:rsidRDefault="00CA36A0" w:rsidP="00996655">
    <w:pPr>
      <w:pStyle w:val="Hidden"/>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C0326E">
    <w:pPr>
      <w:spacing w:after="0"/>
    </w:pPr>
  </w:p>
  <w:p w:rsidR="00996655" w:rsidRDefault="00996655"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0326E" w:rsidRPr="00132658" w:rsidTr="008921B4">
      <w:trPr>
        <w:cantSplit/>
        <w:trHeight w:hRule="exact" w:val="1134"/>
      </w:trPr>
      <w:tc>
        <w:tcPr>
          <w:tcW w:w="7767" w:type="dxa"/>
          <w:vAlign w:val="bottom"/>
        </w:tcPr>
        <w:p w:rsidR="00901430" w:rsidRDefault="00901430" w:rsidP="00C0326E">
          <w:pPr>
            <w:spacing w:after="0"/>
            <w:rPr>
              <w:b/>
              <w:sz w:val="19"/>
              <w:szCs w:val="19"/>
            </w:rPr>
          </w:pPr>
          <w:r>
            <w:rPr>
              <w:rStyle w:val="PageNumber"/>
            </w:rPr>
            <w:t xml:space="preserve">Department of </w:t>
          </w:r>
          <w:r w:rsidR="004C700F" w:rsidRPr="004C700F">
            <w:rPr>
              <w:b/>
              <w:sz w:val="19"/>
              <w:szCs w:val="19"/>
            </w:rPr>
            <w:t>Environment, Parks and Water Security</w:t>
          </w:r>
        </w:p>
        <w:p w:rsidR="004C700F" w:rsidRPr="004C700F" w:rsidRDefault="00A73D95" w:rsidP="00C0326E">
          <w:pPr>
            <w:spacing w:after="0"/>
            <w:rPr>
              <w:rStyle w:val="PageNumber"/>
            </w:rPr>
          </w:pPr>
          <w:r>
            <w:rPr>
              <w:sz w:val="19"/>
              <w:szCs w:val="19"/>
            </w:rPr>
            <w:t>2</w:t>
          </w:r>
          <w:r w:rsidRPr="00A73D95">
            <w:rPr>
              <w:sz w:val="19"/>
              <w:szCs w:val="19"/>
              <w:vertAlign w:val="superscript"/>
            </w:rPr>
            <w:t>nd</w:t>
          </w:r>
          <w:r>
            <w:rPr>
              <w:sz w:val="19"/>
              <w:szCs w:val="19"/>
            </w:rPr>
            <w:t xml:space="preserve"> </w:t>
          </w:r>
          <w:r w:rsidR="00636208">
            <w:rPr>
              <w:sz w:val="19"/>
              <w:szCs w:val="19"/>
            </w:rPr>
            <w:t>November</w:t>
          </w:r>
          <w:r w:rsidR="004C700F" w:rsidRPr="004C700F">
            <w:rPr>
              <w:sz w:val="19"/>
              <w:szCs w:val="19"/>
            </w:rPr>
            <w:t xml:space="preserve"> 2023</w:t>
          </w:r>
        </w:p>
        <w:p w:rsidR="00C0326E" w:rsidRPr="00CE30CF" w:rsidRDefault="00C0326E" w:rsidP="00C0326E">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1A47D1">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1A47D1">
            <w:rPr>
              <w:rStyle w:val="PageNumber"/>
              <w:noProof/>
            </w:rPr>
            <w:t>2</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rsidR="00C0326E" w:rsidRPr="001E14EB" w:rsidRDefault="00C0326E" w:rsidP="00C0326E">
          <w:pPr>
            <w:spacing w:after="0"/>
            <w:jc w:val="right"/>
          </w:pPr>
          <w:r>
            <w:rPr>
              <w:noProof/>
              <w:lang w:eastAsia="en-AU"/>
            </w:rPr>
            <w:drawing>
              <wp:inline distT="0" distB="0" distL="0" distR="0" wp14:anchorId="66058055" wp14:editId="7C1937C2">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EF7362" w:rsidRPr="00661BE1" w:rsidRDefault="00EF736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00F" w:rsidRDefault="004C700F" w:rsidP="007332FF">
      <w:r>
        <w:separator/>
      </w:r>
    </w:p>
  </w:footnote>
  <w:footnote w:type="continuationSeparator" w:id="0">
    <w:p w:rsidR="004C700F" w:rsidRDefault="004C700F"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1A47D1" w:rsidP="00996655">
    <w:pPr>
      <w:pStyle w:val="Header"/>
      <w:tabs>
        <w:tab w:val="clear" w:pos="9638"/>
        <w:tab w:val="right" w:pos="10318"/>
      </w:tabs>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sdtContent>
        <w:r w:rsidR="00625A8C">
          <w:t>Land and Sea Management Fund – Successful Round 7 Grants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0F"/>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465F"/>
    <w:rsid w:val="00056DEF"/>
    <w:rsid w:val="00056EDC"/>
    <w:rsid w:val="0006635A"/>
    <w:rsid w:val="000720BE"/>
    <w:rsid w:val="0007259C"/>
    <w:rsid w:val="00080202"/>
    <w:rsid w:val="00080DCD"/>
    <w:rsid w:val="00080E22"/>
    <w:rsid w:val="00082573"/>
    <w:rsid w:val="000840A3"/>
    <w:rsid w:val="00085062"/>
    <w:rsid w:val="00086A5F"/>
    <w:rsid w:val="000911EF"/>
    <w:rsid w:val="000962C5"/>
    <w:rsid w:val="00097865"/>
    <w:rsid w:val="000A270B"/>
    <w:rsid w:val="000A4317"/>
    <w:rsid w:val="000A559C"/>
    <w:rsid w:val="000B2CA1"/>
    <w:rsid w:val="000D0173"/>
    <w:rsid w:val="000D1F29"/>
    <w:rsid w:val="000D633D"/>
    <w:rsid w:val="000E342B"/>
    <w:rsid w:val="000E3ED2"/>
    <w:rsid w:val="000E5DD2"/>
    <w:rsid w:val="000F2958"/>
    <w:rsid w:val="000F3850"/>
    <w:rsid w:val="000F5370"/>
    <w:rsid w:val="000F604F"/>
    <w:rsid w:val="00104E7F"/>
    <w:rsid w:val="001137EC"/>
    <w:rsid w:val="00114404"/>
    <w:rsid w:val="001152F5"/>
    <w:rsid w:val="00117743"/>
    <w:rsid w:val="00117F5B"/>
    <w:rsid w:val="001267E1"/>
    <w:rsid w:val="00127715"/>
    <w:rsid w:val="00131A0D"/>
    <w:rsid w:val="00132658"/>
    <w:rsid w:val="00150DC0"/>
    <w:rsid w:val="00156CD4"/>
    <w:rsid w:val="0016153B"/>
    <w:rsid w:val="00162207"/>
    <w:rsid w:val="00164A3E"/>
    <w:rsid w:val="00166FF6"/>
    <w:rsid w:val="00176123"/>
    <w:rsid w:val="00181620"/>
    <w:rsid w:val="00187130"/>
    <w:rsid w:val="001957AD"/>
    <w:rsid w:val="00196F8E"/>
    <w:rsid w:val="001A2B7F"/>
    <w:rsid w:val="001A3AFD"/>
    <w:rsid w:val="001A47D1"/>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4075"/>
    <w:rsid w:val="00265C56"/>
    <w:rsid w:val="00266726"/>
    <w:rsid w:val="002716CD"/>
    <w:rsid w:val="00274D4B"/>
    <w:rsid w:val="002806F5"/>
    <w:rsid w:val="00281577"/>
    <w:rsid w:val="002926BC"/>
    <w:rsid w:val="00293A72"/>
    <w:rsid w:val="002A0160"/>
    <w:rsid w:val="002A30C3"/>
    <w:rsid w:val="002A6F6A"/>
    <w:rsid w:val="002A7712"/>
    <w:rsid w:val="002B38F7"/>
    <w:rsid w:val="002B4591"/>
    <w:rsid w:val="002B4F50"/>
    <w:rsid w:val="002B5591"/>
    <w:rsid w:val="002B6AA4"/>
    <w:rsid w:val="002C1FE9"/>
    <w:rsid w:val="002D3A57"/>
    <w:rsid w:val="002D7D05"/>
    <w:rsid w:val="002E20C8"/>
    <w:rsid w:val="002E4290"/>
    <w:rsid w:val="002E66A6"/>
    <w:rsid w:val="002F0DB1"/>
    <w:rsid w:val="002F2885"/>
    <w:rsid w:val="002F45A1"/>
    <w:rsid w:val="002F525F"/>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CE3"/>
    <w:rsid w:val="00394876"/>
    <w:rsid w:val="00394AAF"/>
    <w:rsid w:val="00394CE5"/>
    <w:rsid w:val="003A6341"/>
    <w:rsid w:val="003B0FC4"/>
    <w:rsid w:val="003B67FD"/>
    <w:rsid w:val="003B6A61"/>
    <w:rsid w:val="003D0F63"/>
    <w:rsid w:val="003D3A23"/>
    <w:rsid w:val="003D42C0"/>
    <w:rsid w:val="003D5B29"/>
    <w:rsid w:val="003D7818"/>
    <w:rsid w:val="003E2445"/>
    <w:rsid w:val="003E3BB2"/>
    <w:rsid w:val="003F5B58"/>
    <w:rsid w:val="0040222A"/>
    <w:rsid w:val="004047BC"/>
    <w:rsid w:val="004100F7"/>
    <w:rsid w:val="00414CB3"/>
    <w:rsid w:val="0041563D"/>
    <w:rsid w:val="00426E25"/>
    <w:rsid w:val="00427D9C"/>
    <w:rsid w:val="00427E7E"/>
    <w:rsid w:val="00430D13"/>
    <w:rsid w:val="0043465D"/>
    <w:rsid w:val="00443B6E"/>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46"/>
    <w:rsid w:val="004B69E4"/>
    <w:rsid w:val="004C3ACC"/>
    <w:rsid w:val="004C6C39"/>
    <w:rsid w:val="004C700F"/>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3398B"/>
    <w:rsid w:val="00534DBB"/>
    <w:rsid w:val="00543BD1"/>
    <w:rsid w:val="00556113"/>
    <w:rsid w:val="00564C12"/>
    <w:rsid w:val="005654B8"/>
    <w:rsid w:val="005762CC"/>
    <w:rsid w:val="00582D3D"/>
    <w:rsid w:val="00590040"/>
    <w:rsid w:val="00592E78"/>
    <w:rsid w:val="00595386"/>
    <w:rsid w:val="00597234"/>
    <w:rsid w:val="005A4AC0"/>
    <w:rsid w:val="005A5FDF"/>
    <w:rsid w:val="005B0FB7"/>
    <w:rsid w:val="005B122A"/>
    <w:rsid w:val="005B1FCB"/>
    <w:rsid w:val="005B5AC2"/>
    <w:rsid w:val="005C2833"/>
    <w:rsid w:val="005D79C8"/>
    <w:rsid w:val="005E144D"/>
    <w:rsid w:val="005E1500"/>
    <w:rsid w:val="005E3A43"/>
    <w:rsid w:val="005E3FC4"/>
    <w:rsid w:val="005F0B17"/>
    <w:rsid w:val="005F77C7"/>
    <w:rsid w:val="00620675"/>
    <w:rsid w:val="00622910"/>
    <w:rsid w:val="006254B6"/>
    <w:rsid w:val="00625A8C"/>
    <w:rsid w:val="00627FC8"/>
    <w:rsid w:val="00636208"/>
    <w:rsid w:val="006433C3"/>
    <w:rsid w:val="00650F5B"/>
    <w:rsid w:val="00656921"/>
    <w:rsid w:val="006670D7"/>
    <w:rsid w:val="006719EA"/>
    <w:rsid w:val="00671F13"/>
    <w:rsid w:val="0067400A"/>
    <w:rsid w:val="006847AD"/>
    <w:rsid w:val="0069114B"/>
    <w:rsid w:val="006944C1"/>
    <w:rsid w:val="006A2F2D"/>
    <w:rsid w:val="006A756A"/>
    <w:rsid w:val="006D66F7"/>
    <w:rsid w:val="00705C9D"/>
    <w:rsid w:val="00705F13"/>
    <w:rsid w:val="00714F1D"/>
    <w:rsid w:val="00715225"/>
    <w:rsid w:val="00720CC6"/>
    <w:rsid w:val="00722DDB"/>
    <w:rsid w:val="00724728"/>
    <w:rsid w:val="00724F98"/>
    <w:rsid w:val="00730B9B"/>
    <w:rsid w:val="0073182E"/>
    <w:rsid w:val="007332FF"/>
    <w:rsid w:val="007408F5"/>
    <w:rsid w:val="00741EAE"/>
    <w:rsid w:val="00750D2F"/>
    <w:rsid w:val="00755248"/>
    <w:rsid w:val="0076190B"/>
    <w:rsid w:val="00763448"/>
    <w:rsid w:val="0076355D"/>
    <w:rsid w:val="00763A2D"/>
    <w:rsid w:val="007670BC"/>
    <w:rsid w:val="007676A4"/>
    <w:rsid w:val="00775B91"/>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128D"/>
    <w:rsid w:val="007E70CF"/>
    <w:rsid w:val="007E74A4"/>
    <w:rsid w:val="007F020F"/>
    <w:rsid w:val="007F1B6F"/>
    <w:rsid w:val="007F263F"/>
    <w:rsid w:val="008015A8"/>
    <w:rsid w:val="0080766E"/>
    <w:rsid w:val="00811169"/>
    <w:rsid w:val="00815297"/>
    <w:rsid w:val="008170DB"/>
    <w:rsid w:val="00817BA1"/>
    <w:rsid w:val="00823022"/>
    <w:rsid w:val="0082634E"/>
    <w:rsid w:val="008313C4"/>
    <w:rsid w:val="00835434"/>
    <w:rsid w:val="008358C0"/>
    <w:rsid w:val="00837842"/>
    <w:rsid w:val="00842838"/>
    <w:rsid w:val="00854EC1"/>
    <w:rsid w:val="0085797F"/>
    <w:rsid w:val="00861DC3"/>
    <w:rsid w:val="00867019"/>
    <w:rsid w:val="00872EF1"/>
    <w:rsid w:val="008735A9"/>
    <w:rsid w:val="00877BC5"/>
    <w:rsid w:val="00877D20"/>
    <w:rsid w:val="00881C48"/>
    <w:rsid w:val="00885B80"/>
    <w:rsid w:val="00885C30"/>
    <w:rsid w:val="00885E9B"/>
    <w:rsid w:val="00893C96"/>
    <w:rsid w:val="0089500A"/>
    <w:rsid w:val="00897C94"/>
    <w:rsid w:val="008A7C12"/>
    <w:rsid w:val="008B03CE"/>
    <w:rsid w:val="008B529E"/>
    <w:rsid w:val="008C0D34"/>
    <w:rsid w:val="008C17FB"/>
    <w:rsid w:val="008C70BB"/>
    <w:rsid w:val="008D1B00"/>
    <w:rsid w:val="008D278B"/>
    <w:rsid w:val="008D57B8"/>
    <w:rsid w:val="008E03FC"/>
    <w:rsid w:val="008E510B"/>
    <w:rsid w:val="008F1349"/>
    <w:rsid w:val="008F30DE"/>
    <w:rsid w:val="008F422B"/>
    <w:rsid w:val="00901430"/>
    <w:rsid w:val="00902B13"/>
    <w:rsid w:val="00911941"/>
    <w:rsid w:val="0092024D"/>
    <w:rsid w:val="00925146"/>
    <w:rsid w:val="00925F0F"/>
    <w:rsid w:val="00932F6B"/>
    <w:rsid w:val="009468BC"/>
    <w:rsid w:val="00947FAE"/>
    <w:rsid w:val="00953762"/>
    <w:rsid w:val="009616DF"/>
    <w:rsid w:val="00963E4F"/>
    <w:rsid w:val="0096542F"/>
    <w:rsid w:val="00967FA7"/>
    <w:rsid w:val="00971645"/>
    <w:rsid w:val="00977919"/>
    <w:rsid w:val="00983000"/>
    <w:rsid w:val="009870FA"/>
    <w:rsid w:val="009921C3"/>
    <w:rsid w:val="0099551D"/>
    <w:rsid w:val="00996655"/>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5A62"/>
    <w:rsid w:val="00A66857"/>
    <w:rsid w:val="00A71475"/>
    <w:rsid w:val="00A73D95"/>
    <w:rsid w:val="00A76790"/>
    <w:rsid w:val="00A925EC"/>
    <w:rsid w:val="00A929AA"/>
    <w:rsid w:val="00A92B6B"/>
    <w:rsid w:val="00AA541E"/>
    <w:rsid w:val="00AB5413"/>
    <w:rsid w:val="00AD0DA4"/>
    <w:rsid w:val="00AD4169"/>
    <w:rsid w:val="00AE25C6"/>
    <w:rsid w:val="00AE306C"/>
    <w:rsid w:val="00AF28C1"/>
    <w:rsid w:val="00B02EF1"/>
    <w:rsid w:val="00B07C97"/>
    <w:rsid w:val="00B11C67"/>
    <w:rsid w:val="00B15754"/>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326E"/>
    <w:rsid w:val="00C10F10"/>
    <w:rsid w:val="00C15D4D"/>
    <w:rsid w:val="00C175DC"/>
    <w:rsid w:val="00C30171"/>
    <w:rsid w:val="00C309D8"/>
    <w:rsid w:val="00C322B4"/>
    <w:rsid w:val="00C357F6"/>
    <w:rsid w:val="00C43519"/>
    <w:rsid w:val="00C45263"/>
    <w:rsid w:val="00C51537"/>
    <w:rsid w:val="00C52BC3"/>
    <w:rsid w:val="00C55B5A"/>
    <w:rsid w:val="00C61AFA"/>
    <w:rsid w:val="00C61D64"/>
    <w:rsid w:val="00C62099"/>
    <w:rsid w:val="00C64EA3"/>
    <w:rsid w:val="00C72867"/>
    <w:rsid w:val="00C75E81"/>
    <w:rsid w:val="00C86609"/>
    <w:rsid w:val="00C92B4C"/>
    <w:rsid w:val="00C92C5E"/>
    <w:rsid w:val="00C954F6"/>
    <w:rsid w:val="00CA1A45"/>
    <w:rsid w:val="00CA36A0"/>
    <w:rsid w:val="00CA6BC5"/>
    <w:rsid w:val="00CC571B"/>
    <w:rsid w:val="00CC61CD"/>
    <w:rsid w:val="00CC6C02"/>
    <w:rsid w:val="00CC737B"/>
    <w:rsid w:val="00CD5011"/>
    <w:rsid w:val="00CE640F"/>
    <w:rsid w:val="00CE76BC"/>
    <w:rsid w:val="00CF540E"/>
    <w:rsid w:val="00D02F07"/>
    <w:rsid w:val="00D15D88"/>
    <w:rsid w:val="00D27EBE"/>
    <w:rsid w:val="00D36A49"/>
    <w:rsid w:val="00D517C6"/>
    <w:rsid w:val="00D61FD1"/>
    <w:rsid w:val="00D71D84"/>
    <w:rsid w:val="00D72464"/>
    <w:rsid w:val="00D72A57"/>
    <w:rsid w:val="00D768EB"/>
    <w:rsid w:val="00D81E17"/>
    <w:rsid w:val="00D82D1E"/>
    <w:rsid w:val="00D832D9"/>
    <w:rsid w:val="00D86AC3"/>
    <w:rsid w:val="00D90F00"/>
    <w:rsid w:val="00D975C0"/>
    <w:rsid w:val="00DA5285"/>
    <w:rsid w:val="00DB191D"/>
    <w:rsid w:val="00DB4F91"/>
    <w:rsid w:val="00DB6D0A"/>
    <w:rsid w:val="00DC06BE"/>
    <w:rsid w:val="00DC1F0F"/>
    <w:rsid w:val="00DC3117"/>
    <w:rsid w:val="00DC5DD9"/>
    <w:rsid w:val="00DC6D2D"/>
    <w:rsid w:val="00DD30E2"/>
    <w:rsid w:val="00DD4E59"/>
    <w:rsid w:val="00DE33B5"/>
    <w:rsid w:val="00DE5E18"/>
    <w:rsid w:val="00DF0487"/>
    <w:rsid w:val="00DF4EF1"/>
    <w:rsid w:val="00DF5EA4"/>
    <w:rsid w:val="00E02681"/>
    <w:rsid w:val="00E02792"/>
    <w:rsid w:val="00E034D8"/>
    <w:rsid w:val="00E04CC0"/>
    <w:rsid w:val="00E11554"/>
    <w:rsid w:val="00E152A3"/>
    <w:rsid w:val="00E15816"/>
    <w:rsid w:val="00E160D5"/>
    <w:rsid w:val="00E239FF"/>
    <w:rsid w:val="00E27D7B"/>
    <w:rsid w:val="00E30556"/>
    <w:rsid w:val="00E30981"/>
    <w:rsid w:val="00E33136"/>
    <w:rsid w:val="00E34D7C"/>
    <w:rsid w:val="00E36941"/>
    <w:rsid w:val="00E3723D"/>
    <w:rsid w:val="00E43647"/>
    <w:rsid w:val="00E44B8A"/>
    <w:rsid w:val="00E44C89"/>
    <w:rsid w:val="00E457A6"/>
    <w:rsid w:val="00E52013"/>
    <w:rsid w:val="00E52375"/>
    <w:rsid w:val="00E61BA2"/>
    <w:rsid w:val="00E63864"/>
    <w:rsid w:val="00E6403F"/>
    <w:rsid w:val="00E75451"/>
    <w:rsid w:val="00E770C4"/>
    <w:rsid w:val="00E84C5A"/>
    <w:rsid w:val="00E861DB"/>
    <w:rsid w:val="00E908F1"/>
    <w:rsid w:val="00E93406"/>
    <w:rsid w:val="00E9402C"/>
    <w:rsid w:val="00E956C5"/>
    <w:rsid w:val="00E95C39"/>
    <w:rsid w:val="00EA2C39"/>
    <w:rsid w:val="00EB0A3C"/>
    <w:rsid w:val="00EB0A96"/>
    <w:rsid w:val="00EB164C"/>
    <w:rsid w:val="00EB1D82"/>
    <w:rsid w:val="00EB77F9"/>
    <w:rsid w:val="00EC46CB"/>
    <w:rsid w:val="00EC5769"/>
    <w:rsid w:val="00EC7D00"/>
    <w:rsid w:val="00ED0304"/>
    <w:rsid w:val="00ED5B7B"/>
    <w:rsid w:val="00EE2054"/>
    <w:rsid w:val="00EE38FA"/>
    <w:rsid w:val="00EE3E2C"/>
    <w:rsid w:val="00EE413F"/>
    <w:rsid w:val="00EE5D23"/>
    <w:rsid w:val="00EE750D"/>
    <w:rsid w:val="00EF3CA4"/>
    <w:rsid w:val="00EF7362"/>
    <w:rsid w:val="00EF7859"/>
    <w:rsid w:val="00F014DA"/>
    <w:rsid w:val="00F02591"/>
    <w:rsid w:val="00F5696E"/>
    <w:rsid w:val="00F60EFF"/>
    <w:rsid w:val="00F67D2D"/>
    <w:rsid w:val="00F858F2"/>
    <w:rsid w:val="00F860CC"/>
    <w:rsid w:val="00F94398"/>
    <w:rsid w:val="00FB2B56"/>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60359B"/>
  <w15:docId w15:val="{A5DBE9B0-8C09-4F32-ABBD-37F8E3DF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996655"/>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996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D61FD1"/>
    <w:pPr>
      <w:spacing w:after="800"/>
    </w:pPr>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D61FD1"/>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96655"/>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E44B8A"/>
    <w:pPr>
      <w:numPr>
        <w:ilvl w:val="1"/>
      </w:numPr>
      <w:spacing w:after="160"/>
      <w:jc w:val="right"/>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996655"/>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firstCol">
      <w:rPr>
        <w:b/>
      </w:rPr>
      <w:tblPr/>
      <w:tcPr>
        <w:shd w:val="clear" w:color="auto" w:fill="1F1F5F" w:themeFill="text1"/>
      </w:tc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E152A3"/>
    <w:pPr>
      <w:spacing w:after="0"/>
    </w:pPr>
    <w:rPr>
      <w:sz w:val="20"/>
      <w:szCs w:val="20"/>
    </w:rPr>
  </w:style>
  <w:style w:type="character" w:customStyle="1" w:styleId="FootnoteTextChar">
    <w:name w:val="Footnote Text Char"/>
    <w:basedOn w:val="DefaultParagraphFont"/>
    <w:link w:val="FootnoteText"/>
    <w:uiPriority w:val="99"/>
    <w:semiHidden/>
    <w:rsid w:val="00E152A3"/>
    <w:rPr>
      <w:rFonts w:ascii="Lato" w:hAnsi="Lato"/>
      <w:sz w:val="20"/>
      <w:szCs w:val="20"/>
    </w:rPr>
  </w:style>
  <w:style w:type="character" w:styleId="FootnoteReference">
    <w:name w:val="footnote reference"/>
    <w:basedOn w:val="DefaultParagraphFont"/>
    <w:uiPriority w:val="99"/>
    <w:semiHidden/>
    <w:unhideWhenUsed/>
    <w:rsid w:val="00E152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0509">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29934924">
      <w:bodyDiv w:val="1"/>
      <w:marLeft w:val="0"/>
      <w:marRight w:val="0"/>
      <w:marTop w:val="0"/>
      <w:marBottom w:val="0"/>
      <w:divBdr>
        <w:top w:val="none" w:sz="0" w:space="0" w:color="auto"/>
        <w:left w:val="none" w:sz="0" w:space="0" w:color="auto"/>
        <w:bottom w:val="none" w:sz="0" w:space="0" w:color="auto"/>
        <w:right w:val="none" w:sz="0" w:space="0" w:color="auto"/>
      </w:divBdr>
    </w:div>
    <w:div w:id="547229005">
      <w:bodyDiv w:val="1"/>
      <w:marLeft w:val="0"/>
      <w:marRight w:val="0"/>
      <w:marTop w:val="0"/>
      <w:marBottom w:val="0"/>
      <w:divBdr>
        <w:top w:val="none" w:sz="0" w:space="0" w:color="auto"/>
        <w:left w:val="none" w:sz="0" w:space="0" w:color="auto"/>
        <w:bottom w:val="none" w:sz="0" w:space="0" w:color="auto"/>
        <w:right w:val="none" w:sz="0" w:space="0" w:color="auto"/>
      </w:divBdr>
    </w:div>
    <w:div w:id="675308809">
      <w:bodyDiv w:val="1"/>
      <w:marLeft w:val="0"/>
      <w:marRight w:val="0"/>
      <w:marTop w:val="0"/>
      <w:marBottom w:val="0"/>
      <w:divBdr>
        <w:top w:val="none" w:sz="0" w:space="0" w:color="auto"/>
        <w:left w:val="none" w:sz="0" w:space="0" w:color="auto"/>
        <w:bottom w:val="none" w:sz="0" w:space="0" w:color="auto"/>
        <w:right w:val="none" w:sz="0" w:space="0" w:color="auto"/>
      </w:divBdr>
    </w:div>
    <w:div w:id="745154301">
      <w:bodyDiv w:val="1"/>
      <w:marLeft w:val="0"/>
      <w:marRight w:val="0"/>
      <w:marTop w:val="0"/>
      <w:marBottom w:val="0"/>
      <w:divBdr>
        <w:top w:val="none" w:sz="0" w:space="0" w:color="auto"/>
        <w:left w:val="none" w:sz="0" w:space="0" w:color="auto"/>
        <w:bottom w:val="none" w:sz="0" w:space="0" w:color="auto"/>
        <w:right w:val="none" w:sz="0" w:space="0" w:color="auto"/>
      </w:divBdr>
    </w:div>
    <w:div w:id="1023092426">
      <w:bodyDiv w:val="1"/>
      <w:marLeft w:val="0"/>
      <w:marRight w:val="0"/>
      <w:marTop w:val="0"/>
      <w:marBottom w:val="0"/>
      <w:divBdr>
        <w:top w:val="none" w:sz="0" w:space="0" w:color="auto"/>
        <w:left w:val="none" w:sz="0" w:space="0" w:color="auto"/>
        <w:bottom w:val="none" w:sz="0" w:space="0" w:color="auto"/>
        <w:right w:val="none" w:sz="0" w:space="0" w:color="auto"/>
      </w:divBdr>
    </w:div>
    <w:div w:id="1107844722">
      <w:bodyDiv w:val="1"/>
      <w:marLeft w:val="0"/>
      <w:marRight w:val="0"/>
      <w:marTop w:val="0"/>
      <w:marBottom w:val="0"/>
      <w:divBdr>
        <w:top w:val="none" w:sz="0" w:space="0" w:color="auto"/>
        <w:left w:val="none" w:sz="0" w:space="0" w:color="auto"/>
        <w:bottom w:val="none" w:sz="0" w:space="0" w:color="auto"/>
        <w:right w:val="none" w:sz="0" w:space="0" w:color="auto"/>
      </w:divBdr>
    </w:div>
    <w:div w:id="115575651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elf\Downloads\ntg-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CD5782C31349A588337FA199B7C52B"/>
        <w:category>
          <w:name w:val="General"/>
          <w:gallery w:val="placeholder"/>
        </w:category>
        <w:types>
          <w:type w:val="bbPlcHdr"/>
        </w:types>
        <w:behaviors>
          <w:behavior w:val="content"/>
        </w:behaviors>
        <w:guid w:val="{0D5577F6-0466-4DDF-9AF2-A83EBB9C09C0}"/>
      </w:docPartPr>
      <w:docPartBody>
        <w:p w:rsidR="005B67AB" w:rsidRDefault="005B67AB">
          <w:pPr>
            <w:pStyle w:val="BBCD5782C31349A588337FA199B7C52B"/>
          </w:pPr>
          <w:r w:rsidRPr="000E6C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7AB"/>
    <w:rsid w:val="005B67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BCD5782C31349A588337FA199B7C52B">
    <w:name w:val="BBCD5782C31349A588337FA199B7C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D5528E-8F37-4854-975C-BD8FBC69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ntg-fact-sheet.dotx</Template>
  <TotalTime>1315</TotalTime>
  <Pages>2</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Land and Sea Management Fund – Successful Round 7 Grants</vt:lpstr>
    </vt:vector>
  </TitlesOfParts>
  <Company>&lt;NAME&gt;</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and Sea Management Fund – Successful Round 7 Grants</dc:title>
  <dc:creator>Northern Territory Government</dc:creator>
  <cp:lastModifiedBy>Anna Belford</cp:lastModifiedBy>
  <cp:revision>11</cp:revision>
  <cp:lastPrinted>2019-08-28T22:41:00Z</cp:lastPrinted>
  <dcterms:created xsi:type="dcterms:W3CDTF">2023-10-29T23:16:00Z</dcterms:created>
  <dcterms:modified xsi:type="dcterms:W3CDTF">2023-10-31T00:30:00Z</dcterms:modified>
</cp:coreProperties>
</file>