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4D0"/>
        <w:tblLayout w:type="fixed"/>
        <w:tblLook w:val="04A0" w:firstRow="1" w:lastRow="0" w:firstColumn="1" w:lastColumn="0" w:noHBand="0" w:noVBand="1"/>
      </w:tblPr>
      <w:tblGrid>
        <w:gridCol w:w="11907"/>
      </w:tblGrid>
      <w:tr w:rsidR="00230D72" w:rsidRPr="007217AB" w:rsidTr="007512AA">
        <w:trPr>
          <w:cnfStyle w:val="100000000000" w:firstRow="1" w:lastRow="0" w:firstColumn="0" w:lastColumn="0" w:oddVBand="0" w:evenVBand="0" w:oddHBand="0" w:evenHBand="0" w:firstRowFirstColumn="0" w:firstRowLastColumn="0" w:lastRowFirstColumn="0" w:lastRowLastColumn="0"/>
          <w:trHeight w:val="1134"/>
        </w:trPr>
        <w:sdt>
          <w:sdtPr>
            <w:alias w:val="Title"/>
            <w:tag w:val=""/>
            <w:id w:val="1563207728"/>
            <w:placeholder>
              <w:docPart w:val="FC53E7E39CCB438D92E6E08A01A221A4"/>
            </w:placeholder>
            <w:dataBinding w:prefixMappings="xmlns:ns0='http://purl.org/dc/elements/1.1/' xmlns:ns1='http://schemas.openxmlformats.org/package/2006/metadata/core-properties' " w:xpath="/ns1:coreProperties[1]/ns0:title[1]" w:storeItemID="{6C3C8BC8-F283-45AE-878A-BAB7291924A1}"/>
            <w:text/>
          </w:sdtPr>
          <w:sdtEndPr/>
          <w:sdtContent>
            <w:tc>
              <w:tcPr>
                <w:cnfStyle w:val="001000000100" w:firstRow="0" w:lastRow="0" w:firstColumn="1" w:lastColumn="0" w:oddVBand="0" w:evenVBand="0" w:oddHBand="0" w:evenHBand="0" w:firstRowFirstColumn="1" w:firstRowLastColumn="0" w:lastRowFirstColumn="0" w:lastRowLastColumn="0"/>
                <w:tcW w:w="119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DE4D0"/>
                <w:tcMar>
                  <w:left w:w="0" w:type="dxa"/>
                  <w:right w:w="0" w:type="dxa"/>
                </w:tcMar>
              </w:tcPr>
              <w:p w:rsidR="00230D72" w:rsidRPr="007217AB" w:rsidRDefault="00980344" w:rsidP="00C6293D">
                <w:pPr>
                  <w:pStyle w:val="Title"/>
                  <w:ind w:right="846"/>
                </w:pPr>
                <w:r w:rsidRPr="00270958">
                  <w:t xml:space="preserve">Fact sheet </w:t>
                </w:r>
                <w:r w:rsidR="00C6293D">
                  <w:t>5</w:t>
                </w:r>
                <w:r w:rsidR="00E172EB">
                  <w:t xml:space="preserve">: </w:t>
                </w:r>
                <w:r w:rsidR="00C6293D">
                  <w:t>Roles and responsibilities</w:t>
                </w:r>
              </w:p>
            </w:tc>
          </w:sdtContent>
        </w:sdt>
      </w:tr>
    </w:tbl>
    <w:p w:rsidR="00332473" w:rsidRDefault="00332473" w:rsidP="00390C99"/>
    <w:tbl>
      <w:tblPr>
        <w:tblStyle w:val="TableGridLigh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9D9D9" w:themeFill="background1" w:themeFillShade="D9"/>
        <w:tblLook w:val="04A0" w:firstRow="1" w:lastRow="0" w:firstColumn="1" w:lastColumn="0" w:noHBand="0" w:noVBand="1"/>
      </w:tblPr>
      <w:tblGrid>
        <w:gridCol w:w="9628"/>
      </w:tblGrid>
      <w:tr w:rsidR="00521378" w:rsidTr="007512AA">
        <w:trPr>
          <w:tblHeader/>
        </w:trPr>
        <w:tc>
          <w:tcPr>
            <w:tcW w:w="9628" w:type="dxa"/>
            <w:shd w:val="clear" w:color="auto" w:fill="D9D9D9" w:themeFill="background1" w:themeFillShade="D9"/>
          </w:tcPr>
          <w:p w:rsidR="00521378" w:rsidRDefault="00521378" w:rsidP="00521378">
            <w:pPr>
              <w:spacing w:before="80" w:after="80"/>
              <w:rPr>
                <w:rFonts w:cs="Arial"/>
                <w:b/>
                <w:color w:val="000000" w:themeColor="text1"/>
                <w:sz w:val="36"/>
              </w:rPr>
            </w:pPr>
            <w:r w:rsidRPr="00332473">
              <w:rPr>
                <w:rFonts w:cs="Arial"/>
                <w:b/>
                <w:color w:val="000000" w:themeColor="text1"/>
                <w:sz w:val="36"/>
              </w:rPr>
              <w:t>Caution: Archived content</w:t>
            </w:r>
          </w:p>
          <w:p w:rsidR="007512AA" w:rsidRDefault="00521378" w:rsidP="00521378">
            <w:pPr>
              <w:spacing w:after="80"/>
            </w:pPr>
            <w:r w:rsidRPr="00521378">
              <w:t xml:space="preserve">This content was created to serve a specific purpose at a particular period/time. </w:t>
            </w:r>
          </w:p>
          <w:p w:rsidR="00521378" w:rsidRDefault="00521378" w:rsidP="00521378">
            <w:pPr>
              <w:spacing w:after="80"/>
            </w:pPr>
            <w:r w:rsidRPr="00521378">
              <w:t>It may contain references to policy positions, approaches, documents or other information that has been superseded.</w:t>
            </w:r>
          </w:p>
        </w:tc>
      </w:tr>
    </w:tbl>
    <w:p w:rsidR="00C6293D" w:rsidRDefault="00C6293D" w:rsidP="00C6293D">
      <w:pPr>
        <w:pStyle w:val="Subheading"/>
        <w:rPr>
          <w:bCs/>
        </w:rPr>
      </w:pPr>
      <w:bookmarkStart w:id="0" w:name="Tiered_environmental_impact_assessment"/>
      <w:bookmarkStart w:id="1" w:name="Proposed_timeframes_in_the_draft_environ"/>
      <w:bookmarkStart w:id="2" w:name="The_environmental_impact_assessment_syst"/>
      <w:bookmarkEnd w:id="0"/>
      <w:bookmarkEnd w:id="1"/>
      <w:bookmarkEnd w:id="2"/>
      <w:r>
        <w:rPr>
          <w:bCs/>
        </w:rPr>
        <w:t>D</w:t>
      </w:r>
      <w:r>
        <w:t>istribution of responsibilities under the Environment Protection Bill</w:t>
      </w:r>
      <w:r>
        <w:rPr>
          <w:bCs/>
        </w:rPr>
        <w:t> </w:t>
      </w:r>
      <w:r w:rsidRPr="005940EE">
        <w:t>2019</w:t>
      </w:r>
    </w:p>
    <w:p w:rsidR="00C6293D" w:rsidRPr="00F95853" w:rsidRDefault="00C6293D" w:rsidP="00C6293D">
      <w:pPr>
        <w:pStyle w:val="Heading1"/>
      </w:pPr>
      <w:r w:rsidRPr="005940EE">
        <w:t>Introduction</w:t>
      </w:r>
    </w:p>
    <w:p w:rsidR="00C6293D" w:rsidRDefault="00C6293D" w:rsidP="00C6293D">
      <w:pPr>
        <w:rPr>
          <w:lang w:eastAsia="en-AU"/>
        </w:rPr>
      </w:pPr>
      <w:r>
        <w:rPr>
          <w:lang w:eastAsia="en-AU"/>
        </w:rPr>
        <w:t>The Environment Protection Bill 2019 (the Bill) locates responsibilities for different activities to different parties. This includes proponents, approval holders, the Northern Territory Environment Protection Authority (NT EPA), the Minister for Environment and Natural Resources (the Minister), the Chief Executive Officer of the Department of Environment and Natural Resources (the CEO) and appointed environmental officers.</w:t>
      </w:r>
    </w:p>
    <w:p w:rsidR="00C6293D" w:rsidRDefault="00C6293D" w:rsidP="00C6293D">
      <w:pPr>
        <w:rPr>
          <w:lang w:eastAsia="en-AU"/>
        </w:rPr>
      </w:pPr>
      <w:r>
        <w:rPr>
          <w:lang w:eastAsia="en-AU"/>
        </w:rPr>
        <w:t>This paper provides an outline of the major roles and responsibilities in the Bill. In summary responsibilities are identified as follows:</w:t>
      </w:r>
    </w:p>
    <w:p w:rsidR="00C6293D" w:rsidRDefault="00C6293D" w:rsidP="00C6293D">
      <w:pPr>
        <w:pStyle w:val="bullet"/>
        <w:numPr>
          <w:ilvl w:val="0"/>
          <w:numId w:val="23"/>
        </w:numPr>
        <w:ind w:left="714" w:hanging="357"/>
      </w:pPr>
      <w:r>
        <w:rPr>
          <w:b/>
        </w:rPr>
        <w:t>t</w:t>
      </w:r>
      <w:r w:rsidRPr="005940EE">
        <w:rPr>
          <w:b/>
        </w:rPr>
        <w:t>he Minister:</w:t>
      </w:r>
      <w:r>
        <w:t xml:space="preserve"> responsibility for deciding whether to grant (or refuse) an environmental approval</w:t>
      </w:r>
    </w:p>
    <w:p w:rsidR="00C6293D" w:rsidRDefault="00C6293D" w:rsidP="00C6293D">
      <w:pPr>
        <w:pStyle w:val="bullet"/>
        <w:numPr>
          <w:ilvl w:val="0"/>
          <w:numId w:val="23"/>
        </w:numPr>
        <w:ind w:left="714" w:hanging="357"/>
      </w:pPr>
      <w:r>
        <w:rPr>
          <w:b/>
        </w:rPr>
        <w:t>NT EPA</w:t>
      </w:r>
      <w:r w:rsidRPr="005940EE">
        <w:rPr>
          <w:b/>
        </w:rPr>
        <w:t>:</w:t>
      </w:r>
      <w:r>
        <w:t xml:space="preserve"> responsibility for administering and conducting the environmental impact assessment process</w:t>
      </w:r>
    </w:p>
    <w:p w:rsidR="00C6293D" w:rsidRDefault="00C6293D" w:rsidP="00C6293D">
      <w:pPr>
        <w:pStyle w:val="bullet"/>
        <w:numPr>
          <w:ilvl w:val="0"/>
          <w:numId w:val="23"/>
        </w:numPr>
        <w:ind w:left="714" w:hanging="357"/>
      </w:pPr>
      <w:r>
        <w:rPr>
          <w:b/>
        </w:rPr>
        <w:t>t</w:t>
      </w:r>
      <w:r w:rsidRPr="005940EE">
        <w:rPr>
          <w:b/>
        </w:rPr>
        <w:t>he CEO or appointed environmental officers:</w:t>
      </w:r>
      <w:r>
        <w:t xml:space="preserve"> responsibility for ensuring that proponents comply with the legislation and taking enforcemen</w:t>
      </w:r>
      <w:r w:rsidRPr="005940EE">
        <w:rPr>
          <w:rStyle w:val="bulletChar"/>
        </w:rPr>
        <w:t>t</w:t>
      </w:r>
      <w:r>
        <w:t xml:space="preserve"> action where appropriate</w:t>
      </w:r>
    </w:p>
    <w:p w:rsidR="00C6293D" w:rsidRPr="006519B5" w:rsidRDefault="00C6293D" w:rsidP="00C6293D">
      <w:pPr>
        <w:pStyle w:val="bullet"/>
        <w:numPr>
          <w:ilvl w:val="0"/>
          <w:numId w:val="23"/>
        </w:numPr>
        <w:ind w:left="714" w:hanging="357"/>
      </w:pPr>
      <w:proofErr w:type="gramStart"/>
      <w:r>
        <w:rPr>
          <w:b/>
        </w:rPr>
        <w:t>p</w:t>
      </w:r>
      <w:r w:rsidRPr="005940EE">
        <w:rPr>
          <w:b/>
        </w:rPr>
        <w:t>roponent</w:t>
      </w:r>
      <w:proofErr w:type="gramEnd"/>
      <w:r w:rsidRPr="005940EE">
        <w:rPr>
          <w:b/>
        </w:rPr>
        <w:t xml:space="preserve"> or approval holder:</w:t>
      </w:r>
      <w:r w:rsidRPr="004C1575">
        <w:t xml:space="preserve"> responsibility</w:t>
      </w:r>
      <w:r w:rsidRPr="006519B5">
        <w:t xml:space="preserve"> for referring a proposed action for consideration under the environmental impact assessment process, for complying with all the requirements of that process and for generally complying with the legislation and any conditions in an environmental approval</w:t>
      </w:r>
      <w:r>
        <w:t>.</w:t>
      </w:r>
    </w:p>
    <w:p w:rsidR="00C6293D" w:rsidRDefault="00C6293D" w:rsidP="00C6293D">
      <w:pPr>
        <w:pStyle w:val="Heading1"/>
      </w:pPr>
      <w:r>
        <w:t>The Minister for Environment and Natural Resources</w:t>
      </w:r>
    </w:p>
    <w:p w:rsidR="00C6293D" w:rsidRDefault="00C6293D" w:rsidP="00C6293D">
      <w:pPr>
        <w:rPr>
          <w:lang w:eastAsia="en-AU"/>
        </w:rPr>
      </w:pPr>
      <w:r>
        <w:rPr>
          <w:lang w:eastAsia="en-AU"/>
        </w:rPr>
        <w:t xml:space="preserve">The Minister has overall responsibility for ensuring that the Northern Territory (the Territory) environment is managed in an ecologically sustainable way. </w:t>
      </w:r>
    </w:p>
    <w:p w:rsidR="00C6293D" w:rsidRDefault="00C6293D" w:rsidP="00C6293D">
      <w:pPr>
        <w:rPr>
          <w:lang w:eastAsia="en-AU"/>
        </w:rPr>
      </w:pPr>
      <w:r>
        <w:rPr>
          <w:lang w:eastAsia="en-AU"/>
        </w:rPr>
        <w:t>Under the Bill, the Minister has three primary functions. To make:</w:t>
      </w:r>
    </w:p>
    <w:p w:rsidR="00C6293D" w:rsidRDefault="00C6293D" w:rsidP="00C6293D">
      <w:pPr>
        <w:pStyle w:val="bullet"/>
        <w:numPr>
          <w:ilvl w:val="0"/>
          <w:numId w:val="23"/>
        </w:numPr>
        <w:ind w:left="714" w:hanging="357"/>
      </w:pPr>
      <w:r>
        <w:t xml:space="preserve">declarations designed to protect the </w:t>
      </w:r>
      <w:r w:rsidRPr="001D15AA">
        <w:t>Territory</w:t>
      </w:r>
      <w:r>
        <w:t xml:space="preserve"> environment and facilitate consistency in the environmental impact assessment process</w:t>
      </w:r>
    </w:p>
    <w:p w:rsidR="00C6293D" w:rsidRDefault="00C6293D" w:rsidP="00C6293D">
      <w:pPr>
        <w:pStyle w:val="bullet"/>
        <w:numPr>
          <w:ilvl w:val="0"/>
          <w:numId w:val="23"/>
        </w:numPr>
        <w:ind w:left="714" w:hanging="357"/>
      </w:pPr>
      <w:r>
        <w:lastRenderedPageBreak/>
        <w:t>decisions about the grant, refusal, transfer, suspension and revocation of environmental approvals</w:t>
      </w:r>
    </w:p>
    <w:p w:rsidR="00C6293D" w:rsidRDefault="00C6293D" w:rsidP="00C6293D">
      <w:pPr>
        <w:pStyle w:val="bullet"/>
        <w:numPr>
          <w:ilvl w:val="0"/>
          <w:numId w:val="23"/>
        </w:numPr>
        <w:ind w:left="714" w:hanging="357"/>
      </w:pPr>
      <w:proofErr w:type="gramStart"/>
      <w:r>
        <w:t>agreements</w:t>
      </w:r>
      <w:proofErr w:type="gramEnd"/>
      <w:r>
        <w:t xml:space="preserve"> and policies to facilitate environmental impact assessments and environmental outcomes.</w:t>
      </w:r>
    </w:p>
    <w:p w:rsidR="00C6293D" w:rsidRDefault="00C6293D" w:rsidP="00C6293D">
      <w:pPr>
        <w:pStyle w:val="Heading2"/>
      </w:pPr>
      <w:r>
        <w:t xml:space="preserve">Environmental </w:t>
      </w:r>
      <w:r w:rsidRPr="005940EE">
        <w:t>declarations</w:t>
      </w:r>
    </w:p>
    <w:p w:rsidR="00C6293D" w:rsidRDefault="00C6293D" w:rsidP="00C6293D">
      <w:pPr>
        <w:keepNext/>
        <w:rPr>
          <w:lang w:eastAsia="en-AU"/>
        </w:rPr>
      </w:pPr>
      <w:r>
        <w:rPr>
          <w:lang w:eastAsia="en-AU"/>
        </w:rPr>
        <w:t>The Minister may make declarations to support the impact assessment process, including:</w:t>
      </w:r>
    </w:p>
    <w:p w:rsidR="00C6293D" w:rsidRDefault="00C6293D" w:rsidP="00C6293D">
      <w:pPr>
        <w:pStyle w:val="bullet"/>
        <w:numPr>
          <w:ilvl w:val="0"/>
          <w:numId w:val="23"/>
        </w:numPr>
        <w:ind w:left="714" w:hanging="357"/>
      </w:pPr>
      <w:r w:rsidRPr="005940EE">
        <w:rPr>
          <w:b/>
        </w:rPr>
        <w:t>environmental objectives:</w:t>
      </w:r>
      <w:r>
        <w:t xml:space="preserve"> these objectives form part of a policy framework identifying matters of value or importance to the Territory and will be used in the impact assessment and approval system to support, and improve consistency in, decision making</w:t>
      </w:r>
    </w:p>
    <w:p w:rsidR="00C6293D" w:rsidRDefault="00C6293D" w:rsidP="00C6293D">
      <w:pPr>
        <w:pStyle w:val="bullet"/>
        <w:numPr>
          <w:ilvl w:val="0"/>
          <w:numId w:val="23"/>
        </w:numPr>
        <w:ind w:left="714" w:hanging="357"/>
      </w:pPr>
      <w:proofErr w:type="gramStart"/>
      <w:r w:rsidRPr="005940EE">
        <w:rPr>
          <w:b/>
        </w:rPr>
        <w:t>referral</w:t>
      </w:r>
      <w:proofErr w:type="gramEnd"/>
      <w:r w:rsidRPr="005940EE">
        <w:rPr>
          <w:b/>
        </w:rPr>
        <w:t xml:space="preserve"> triggers:</w:t>
      </w:r>
      <w:r>
        <w:t xml:space="preserve"> a trigger identifies a type of activity, or activities in a specific area, that need to be referred to the NT EPA as part of the impact assessment process.</w:t>
      </w:r>
    </w:p>
    <w:p w:rsidR="00C6293D" w:rsidRDefault="00C6293D" w:rsidP="00C6293D">
      <w:pPr>
        <w:rPr>
          <w:lang w:eastAsia="en-AU"/>
        </w:rPr>
      </w:pPr>
      <w:r>
        <w:rPr>
          <w:lang w:eastAsia="en-AU"/>
        </w:rPr>
        <w:t>The Minister will be required to consult with the public and the NT EPA before making these declarations. The Minister is also required to review declarations about objectives and triggers at least every 10 years.</w:t>
      </w:r>
    </w:p>
    <w:p w:rsidR="00C6293D" w:rsidRDefault="00C6293D" w:rsidP="00C6293D">
      <w:pPr>
        <w:rPr>
          <w:lang w:eastAsia="en-AU"/>
        </w:rPr>
      </w:pPr>
      <w:r>
        <w:rPr>
          <w:lang w:eastAsia="en-AU"/>
        </w:rPr>
        <w:t>The Minister may also make temporary declarations of protected environmental areas. A temporary declaration can be made without public consultation where it is warranted and time is of the essence. A declaration cannot be for a period exceeding 12 months.</w:t>
      </w:r>
    </w:p>
    <w:p w:rsidR="00C6293D" w:rsidRDefault="00C6293D" w:rsidP="00C6293D">
      <w:pPr>
        <w:rPr>
          <w:lang w:eastAsia="en-AU"/>
        </w:rPr>
      </w:pPr>
      <w:r>
        <w:rPr>
          <w:lang w:eastAsia="en-AU"/>
        </w:rPr>
        <w:t>The Administrator of the Northern Territory is given powers to make permanent declarations of protected environmental areas and prohibited actions.</w:t>
      </w:r>
    </w:p>
    <w:p w:rsidR="00C6293D" w:rsidRPr="005940EE" w:rsidRDefault="00C6293D" w:rsidP="00C6293D">
      <w:pPr>
        <w:pStyle w:val="Heading2"/>
      </w:pPr>
      <w:r>
        <w:t>Environmental approvals</w:t>
      </w:r>
    </w:p>
    <w:p w:rsidR="00C6293D" w:rsidRDefault="00C6293D" w:rsidP="00C6293D">
      <w:pPr>
        <w:rPr>
          <w:lang w:eastAsia="en-AU"/>
        </w:rPr>
      </w:pPr>
      <w:r>
        <w:rPr>
          <w:lang w:eastAsia="en-AU"/>
        </w:rPr>
        <w:t>The Minister is given a range of powers associated with the introduction of an environmental approval. These include powers to grant or refuse approvals, amend conditions on approvals, transfer, suspend and revoke approvals.</w:t>
      </w:r>
    </w:p>
    <w:p w:rsidR="00C6293D" w:rsidRDefault="00C6293D" w:rsidP="00C6293D">
      <w:pPr>
        <w:rPr>
          <w:lang w:eastAsia="en-AU"/>
        </w:rPr>
      </w:pPr>
      <w:r>
        <w:rPr>
          <w:lang w:eastAsia="en-AU"/>
        </w:rPr>
        <w:t>The Minister is also given powers designed to make sure the environment is protected, including:</w:t>
      </w:r>
    </w:p>
    <w:p w:rsidR="00C6293D" w:rsidRDefault="00C6293D" w:rsidP="00C6293D">
      <w:pPr>
        <w:pStyle w:val="bullet"/>
        <w:numPr>
          <w:ilvl w:val="0"/>
          <w:numId w:val="23"/>
        </w:numPr>
        <w:ind w:left="714" w:hanging="357"/>
      </w:pPr>
      <w:r>
        <w:t>closure notices requiring a person to undertake continued investigation, monitoring or management of a site that is intended to be ‘closed’</w:t>
      </w:r>
    </w:p>
    <w:p w:rsidR="00C6293D" w:rsidRDefault="00C6293D" w:rsidP="00C6293D">
      <w:pPr>
        <w:pStyle w:val="bullet"/>
        <w:numPr>
          <w:ilvl w:val="0"/>
          <w:numId w:val="23"/>
        </w:numPr>
        <w:ind w:left="714" w:hanging="357"/>
      </w:pPr>
      <w:proofErr w:type="gramStart"/>
      <w:r>
        <w:t>closure</w:t>
      </w:r>
      <w:proofErr w:type="gramEnd"/>
      <w:r>
        <w:t xml:space="preserve"> certificates which can be issued to a person once all of the closure, remediation and rehabilitation obligations under the environmental approval have been fulfilled.</w:t>
      </w:r>
    </w:p>
    <w:p w:rsidR="00C6293D" w:rsidRPr="005940EE" w:rsidRDefault="00C6293D" w:rsidP="00C6293D">
      <w:pPr>
        <w:pStyle w:val="Heading2"/>
      </w:pPr>
      <w:r w:rsidRPr="005940EE">
        <w:t>Environmental agreements and policies</w:t>
      </w:r>
    </w:p>
    <w:p w:rsidR="00C6293D" w:rsidRDefault="00C6293D" w:rsidP="00C6293D">
      <w:pPr>
        <w:rPr>
          <w:lang w:eastAsia="en-AU"/>
        </w:rPr>
      </w:pPr>
      <w:r>
        <w:rPr>
          <w:lang w:eastAsia="en-AU"/>
        </w:rPr>
        <w:t>The Minister may enter into an agreement with a minister in another jurisdiction for a co-operative environmental impact assessment of a project. This will facilitate and streamline environmental impact assessment processes for proponents whose project may impact across a number of jurisdictions. The co-operative assessment agreement must meet certain criteria, including that it provides the information necessary for the Minister to determine whether to grant or refuse an environmental approval.</w:t>
      </w:r>
    </w:p>
    <w:p w:rsidR="00C6293D" w:rsidRDefault="00C6293D" w:rsidP="00C6293D">
      <w:pPr>
        <w:rPr>
          <w:lang w:eastAsia="en-AU"/>
        </w:rPr>
      </w:pPr>
      <w:r>
        <w:rPr>
          <w:lang w:eastAsia="en-AU"/>
        </w:rPr>
        <w:t>The Minister can develop and implement an environmental offset framework to provide further guidance on the expectations for envir</w:t>
      </w:r>
      <w:bookmarkStart w:id="3" w:name="_GoBack"/>
      <w:bookmarkEnd w:id="3"/>
      <w:r>
        <w:rPr>
          <w:lang w:eastAsia="en-AU"/>
        </w:rPr>
        <w:t>onmental management in the Territory.</w:t>
      </w:r>
    </w:p>
    <w:p w:rsidR="00390C99" w:rsidRPr="00390C99" w:rsidRDefault="00390C99" w:rsidP="00390C99">
      <w:r w:rsidRPr="00390C99">
        <w:br w:type="page"/>
      </w:r>
    </w:p>
    <w:p w:rsidR="00C6293D" w:rsidRDefault="00C6293D" w:rsidP="00C6293D">
      <w:pPr>
        <w:pStyle w:val="Heading1"/>
      </w:pPr>
      <w:r>
        <w:lastRenderedPageBreak/>
        <w:t>The NT EPA</w:t>
      </w:r>
    </w:p>
    <w:p w:rsidR="00C6293D" w:rsidRDefault="00C6293D" w:rsidP="00C6293D">
      <w:pPr>
        <w:rPr>
          <w:lang w:eastAsia="en-AU"/>
        </w:rPr>
      </w:pPr>
      <w:r>
        <w:rPr>
          <w:lang w:eastAsia="en-AU"/>
        </w:rPr>
        <w:t xml:space="preserve">The NT EPA’s main responsibility under the Bill is to oversee, administer and conduct the </w:t>
      </w:r>
      <w:proofErr w:type="gramStart"/>
      <w:r>
        <w:rPr>
          <w:lang w:eastAsia="en-AU"/>
        </w:rPr>
        <w:t>environmental</w:t>
      </w:r>
      <w:proofErr w:type="gramEnd"/>
      <w:r>
        <w:rPr>
          <w:lang w:eastAsia="en-AU"/>
        </w:rPr>
        <w:t xml:space="preserve"> impact assessment process within the </w:t>
      </w:r>
      <w:r w:rsidRPr="001D15AA">
        <w:rPr>
          <w:lang w:eastAsia="en-AU"/>
        </w:rPr>
        <w:t>Territory</w:t>
      </w:r>
      <w:r>
        <w:rPr>
          <w:lang w:eastAsia="en-AU"/>
        </w:rPr>
        <w:t>.</w:t>
      </w:r>
    </w:p>
    <w:p w:rsidR="00C6293D" w:rsidRDefault="00C6293D" w:rsidP="00C6293D">
      <w:pPr>
        <w:rPr>
          <w:lang w:eastAsia="en-AU"/>
        </w:rPr>
      </w:pPr>
      <w:r>
        <w:rPr>
          <w:lang w:eastAsia="en-AU"/>
        </w:rPr>
        <w:t>It is the NT EPA which will receive a referral from a proponent to undertake a project (proposed action). The NT EPA will decide whether or not the project requires impact assessment, and if so, the type or method of assessment required. The NT EPA will conduct the impact assessment process to ensure that a proper evaluation of the potential significant impacts of the project is undertaken.</w:t>
      </w:r>
    </w:p>
    <w:p w:rsidR="00C6293D" w:rsidRDefault="00C6293D" w:rsidP="00C6293D">
      <w:pPr>
        <w:rPr>
          <w:lang w:eastAsia="en-AU"/>
        </w:rPr>
      </w:pPr>
      <w:r>
        <w:rPr>
          <w:lang w:eastAsia="en-AU"/>
        </w:rPr>
        <w:t>When the NT EPA completes its assessment, it will provide the Minister with an assessment report. The report will identify the potential impacts of the project, and how the environmental risks and impacts have been avoided or mitigated in the design of the project. The assessment report will be accompanied by a draft environmental approval if the NT EPA considers the environmental impacts and risks are manageable, or a statement of unacceptable impact if it does not.</w:t>
      </w:r>
    </w:p>
    <w:p w:rsidR="00C6293D" w:rsidRDefault="00C6293D" w:rsidP="00C6293D">
      <w:pPr>
        <w:rPr>
          <w:lang w:eastAsia="en-AU"/>
        </w:rPr>
      </w:pPr>
      <w:r>
        <w:rPr>
          <w:lang w:eastAsia="en-AU"/>
        </w:rPr>
        <w:t>The NT EPA also has the power to issue a call-in notice and a stop work notice if a project has not been referred and the NT EPA considers that it should have been.</w:t>
      </w:r>
    </w:p>
    <w:p w:rsidR="00C6293D" w:rsidRDefault="00C6293D" w:rsidP="00C6293D">
      <w:pPr>
        <w:rPr>
          <w:lang w:eastAsia="en-AU"/>
        </w:rPr>
      </w:pPr>
      <w:r>
        <w:rPr>
          <w:lang w:eastAsia="en-AU"/>
        </w:rPr>
        <w:t>The majority of the NT EPA’s powers, functions, responsibilities and obligations in the impact assessment process will be identified in the Environment Protection Regulations.</w:t>
      </w:r>
    </w:p>
    <w:p w:rsidR="00C6293D" w:rsidRDefault="00C6293D" w:rsidP="00C6293D">
      <w:pPr>
        <w:pStyle w:val="Heading1"/>
      </w:pPr>
      <w:r>
        <w:t xml:space="preserve">Proponents and </w:t>
      </w:r>
      <w:r w:rsidRPr="00C6293D">
        <w:t>approval</w:t>
      </w:r>
      <w:r>
        <w:t xml:space="preserve"> holders</w:t>
      </w:r>
    </w:p>
    <w:p w:rsidR="00C6293D" w:rsidRDefault="00C6293D" w:rsidP="00C6293D">
      <w:pPr>
        <w:tabs>
          <w:tab w:val="left" w:pos="559"/>
        </w:tabs>
        <w:rPr>
          <w:lang w:eastAsia="en-AU"/>
        </w:rPr>
      </w:pPr>
      <w:r>
        <w:rPr>
          <w:lang w:eastAsia="en-AU"/>
        </w:rPr>
        <w:t>Proponent is the term used to refer to the person who wants to conduct a project (an action</w:t>
      </w:r>
      <w:r w:rsidRPr="00127B19">
        <w:rPr>
          <w:lang w:eastAsia="en-AU"/>
        </w:rPr>
        <w:t xml:space="preserve">). Once the proponent has been granted an environmental approval, they are generally referred to as an approval holder. </w:t>
      </w:r>
      <w:r>
        <w:rPr>
          <w:lang w:eastAsia="en-AU"/>
        </w:rPr>
        <w:t xml:space="preserve">Proponents and approval holders </w:t>
      </w:r>
      <w:r w:rsidRPr="00127B19">
        <w:rPr>
          <w:lang w:eastAsia="en-AU"/>
        </w:rPr>
        <w:t>may be individuals or bodies corporate.</w:t>
      </w:r>
    </w:p>
    <w:p w:rsidR="00C6293D" w:rsidRDefault="00C6293D" w:rsidP="00C6293D">
      <w:pPr>
        <w:tabs>
          <w:tab w:val="left" w:pos="559"/>
        </w:tabs>
        <w:rPr>
          <w:lang w:eastAsia="en-AU"/>
        </w:rPr>
      </w:pPr>
      <w:r>
        <w:rPr>
          <w:lang w:eastAsia="en-AU"/>
        </w:rPr>
        <w:t>Proponents are responsible for deciding whether or not they might need an environmental approval. If they consider they may need an approval for a project, then they are responsible for providing information to the NT EPA to allow it to determine whether or not the approval, and therefore environmental impact assessment, is required. This is known as ‘making a referral’.</w:t>
      </w:r>
    </w:p>
    <w:p w:rsidR="00C6293D" w:rsidRDefault="00C6293D" w:rsidP="00C6293D">
      <w:pPr>
        <w:tabs>
          <w:tab w:val="left" w:pos="559"/>
        </w:tabs>
        <w:rPr>
          <w:lang w:eastAsia="en-AU"/>
        </w:rPr>
      </w:pPr>
      <w:r>
        <w:rPr>
          <w:lang w:eastAsia="en-AU"/>
        </w:rPr>
        <w:t>Both proponents and approval holders are also responsible for deciding whether changes to their projects (or actions) are significant and may warrant further impact assessment or approval, and for referring significant changes to the NT EPA.</w:t>
      </w:r>
    </w:p>
    <w:p w:rsidR="00C6293D" w:rsidRDefault="00C6293D" w:rsidP="00C6293D">
      <w:pPr>
        <w:tabs>
          <w:tab w:val="left" w:pos="559"/>
        </w:tabs>
        <w:rPr>
          <w:lang w:eastAsia="en-AU"/>
        </w:rPr>
      </w:pPr>
      <w:r>
        <w:rPr>
          <w:lang w:eastAsia="en-AU"/>
        </w:rPr>
        <w:t>Approval holders have a responsibility to conduct their projects and activities in accordance with the environmental approval and to notify the CEO in the event an unauthorised incident that threatens to cause material environmental harm occurs.</w:t>
      </w:r>
    </w:p>
    <w:p w:rsidR="00C6293D" w:rsidRPr="00432E21" w:rsidRDefault="00C6293D" w:rsidP="00C6293D">
      <w:pPr>
        <w:pStyle w:val="Heading1"/>
      </w:pPr>
      <w:r>
        <w:t>The CEO</w:t>
      </w:r>
    </w:p>
    <w:p w:rsidR="00C6293D" w:rsidRDefault="00C6293D" w:rsidP="00C6293D">
      <w:pPr>
        <w:rPr>
          <w:lang w:eastAsia="en-AU"/>
        </w:rPr>
      </w:pPr>
      <w:r>
        <w:rPr>
          <w:lang w:eastAsia="en-AU"/>
        </w:rPr>
        <w:t>The primary function of the CEO is to ensure compliance with the legislation. To achieve this, the CEO may:</w:t>
      </w:r>
    </w:p>
    <w:p w:rsidR="00C6293D" w:rsidRDefault="00C6293D" w:rsidP="00C6293D">
      <w:pPr>
        <w:pStyle w:val="bullet"/>
        <w:numPr>
          <w:ilvl w:val="0"/>
          <w:numId w:val="23"/>
        </w:numPr>
        <w:ind w:left="714" w:hanging="357"/>
      </w:pPr>
      <w:r>
        <w:t>issue environment protection notices, specifying that certain actions must be taken (or stopped) to ensure compliance with an environmental approval</w:t>
      </w:r>
    </w:p>
    <w:p w:rsidR="00C6293D" w:rsidRDefault="00C6293D" w:rsidP="00C6293D">
      <w:pPr>
        <w:pStyle w:val="bullet"/>
        <w:numPr>
          <w:ilvl w:val="0"/>
          <w:numId w:val="23"/>
        </w:numPr>
        <w:ind w:left="714" w:hanging="357"/>
      </w:pPr>
      <w:r>
        <w:t>enter into enforceable undertakings with proponents that may have breached an approval</w:t>
      </w:r>
    </w:p>
    <w:p w:rsidR="00C6293D" w:rsidRDefault="00C6293D" w:rsidP="00C6293D">
      <w:pPr>
        <w:pStyle w:val="bullet"/>
        <w:numPr>
          <w:ilvl w:val="0"/>
          <w:numId w:val="23"/>
        </w:numPr>
        <w:ind w:left="714" w:hanging="357"/>
      </w:pPr>
      <w:r>
        <w:t>start criminal or civil proceedings against proponents that may have breached an approval</w:t>
      </w:r>
    </w:p>
    <w:p w:rsidR="00C6293D" w:rsidRDefault="00C6293D" w:rsidP="00C6293D">
      <w:pPr>
        <w:pStyle w:val="bullet"/>
        <w:numPr>
          <w:ilvl w:val="0"/>
          <w:numId w:val="23"/>
        </w:numPr>
        <w:ind w:left="714" w:hanging="357"/>
      </w:pPr>
      <w:proofErr w:type="gramStart"/>
      <w:r>
        <w:t>appoint</w:t>
      </w:r>
      <w:proofErr w:type="gramEnd"/>
      <w:r>
        <w:t xml:space="preserve"> environmental officers to assist in undertaking compliance and enforcement activities.</w:t>
      </w:r>
    </w:p>
    <w:p w:rsidR="00C6293D" w:rsidRDefault="00C6293D" w:rsidP="00C6293D">
      <w:pPr>
        <w:rPr>
          <w:lang w:eastAsia="en-AU"/>
        </w:rPr>
      </w:pPr>
      <w:r>
        <w:rPr>
          <w:lang w:eastAsia="en-AU"/>
        </w:rPr>
        <w:t>The CEO is also responsible for a range of administrative matters to ensure transparency in the environmental management system, such as maintaining public registers.</w:t>
      </w:r>
    </w:p>
    <w:p w:rsidR="00C6293D" w:rsidRDefault="00C6293D" w:rsidP="00C6293D">
      <w:pPr>
        <w:pStyle w:val="Heading1"/>
      </w:pPr>
      <w:r>
        <w:lastRenderedPageBreak/>
        <w:t>Environmental officers</w:t>
      </w:r>
    </w:p>
    <w:p w:rsidR="00C6293D" w:rsidRDefault="00C6293D" w:rsidP="00C6293D">
      <w:pPr>
        <w:rPr>
          <w:lang w:eastAsia="en-AU"/>
        </w:rPr>
      </w:pPr>
      <w:r>
        <w:rPr>
          <w:lang w:eastAsia="en-AU"/>
        </w:rPr>
        <w:t>Environmental officers may be appointed by the CEO. Members of the Northern Territory Police Force are environmental officers.</w:t>
      </w:r>
    </w:p>
    <w:p w:rsidR="00E172EB" w:rsidRDefault="00C6293D" w:rsidP="00C6293D">
      <w:pPr>
        <w:rPr>
          <w:lang w:eastAsia="en-AU"/>
        </w:rPr>
      </w:pPr>
      <w:r>
        <w:rPr>
          <w:lang w:eastAsia="en-AU"/>
        </w:rPr>
        <w:t>Environmental officers are given a range of powers to investigate potential breaches of the legislation and to ensure that proponents comply with the legislation.</w:t>
      </w:r>
    </w:p>
    <w:sectPr w:rsidR="00E172EB" w:rsidSect="00B210DF">
      <w:headerReference w:type="default" r:id="rId8"/>
      <w:footerReference w:type="default" r:id="rId9"/>
      <w:headerReference w:type="first" r:id="rId10"/>
      <w:footerReference w:type="first" r:id="rId11"/>
      <w:pgSz w:w="11906" w:h="16838" w:code="9"/>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73" w:rsidRDefault="00332473" w:rsidP="001E1B1D">
      <w:r>
        <w:separator/>
      </w:r>
    </w:p>
    <w:p w:rsidR="00332473" w:rsidRDefault="00332473" w:rsidP="001E1B1D"/>
    <w:p w:rsidR="00332473" w:rsidRDefault="00332473"/>
  </w:endnote>
  <w:endnote w:type="continuationSeparator" w:id="0">
    <w:p w:rsidR="00332473" w:rsidRDefault="00332473" w:rsidP="001E1B1D">
      <w:r>
        <w:continuationSeparator/>
      </w:r>
    </w:p>
    <w:p w:rsidR="00332473" w:rsidRDefault="00332473" w:rsidP="001E1B1D"/>
    <w:p w:rsidR="00332473" w:rsidRDefault="00332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94" w:rsidRDefault="00DD5694" w:rsidP="001514F6">
    <w:pPr>
      <w:pStyle w:val="NTGfooter2smallspace"/>
    </w:pPr>
    <w:r>
      <w:tab/>
    </w:r>
  </w:p>
  <w:p w:rsidR="00DD5694" w:rsidRPr="007512AA" w:rsidRDefault="000171B2" w:rsidP="00332473">
    <w:pPr>
      <w:pStyle w:val="NTGFooter2"/>
      <w:ind w:firstLine="567"/>
      <w:rPr>
        <w:sz w:val="4"/>
        <w:szCs w:val="4"/>
      </w:rPr>
    </w:pPr>
    <w:r>
      <w:t>2</w:t>
    </w:r>
    <w:r w:rsidR="000B527C">
      <w:t>9</w:t>
    </w:r>
    <w:r w:rsidR="007512AA">
      <w:t> </w:t>
    </w:r>
    <w:r>
      <w:t>April 2019</w:t>
    </w:r>
    <w:r w:rsidR="00DD5694" w:rsidRPr="001514F6">
      <w:tab/>
      <w:t xml:space="preserve">Page </w:t>
    </w:r>
    <w:r w:rsidR="00DD5694" w:rsidRPr="001514F6">
      <w:fldChar w:fldCharType="begin"/>
    </w:r>
    <w:r w:rsidR="00DD5694" w:rsidRPr="001514F6">
      <w:instrText xml:space="preserve"> PAGE </w:instrText>
    </w:r>
    <w:r w:rsidR="00DD5694" w:rsidRPr="001514F6">
      <w:fldChar w:fldCharType="separate"/>
    </w:r>
    <w:r w:rsidR="00C8113A">
      <w:rPr>
        <w:noProof/>
      </w:rPr>
      <w:t>2</w:t>
    </w:r>
    <w:r w:rsidR="00DD5694" w:rsidRPr="001514F6">
      <w:fldChar w:fldCharType="end"/>
    </w:r>
    <w:r w:rsidR="00DD5694" w:rsidRPr="001514F6">
      <w:t xml:space="preserve"> of </w:t>
    </w:r>
    <w:fldSimple w:instr=" NUMPAGES  ">
      <w:r w:rsidR="00C8113A">
        <w:rPr>
          <w:noProof/>
        </w:rPr>
        <w:t>4</w:t>
      </w:r>
    </w:fldSimple>
    <w:r w:rsidR="007512AA">
      <w:rPr>
        <w:noProof/>
      </w:rPr>
      <w:br/>
    </w:r>
  </w:p>
  <w:p w:rsidR="00DD5694" w:rsidRPr="001514F6" w:rsidRDefault="00DD5694" w:rsidP="001514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907" w:type="dxa"/>
      <w:tblInd w:w="-113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567"/>
      <w:gridCol w:w="8364"/>
      <w:gridCol w:w="2268"/>
      <w:gridCol w:w="708"/>
    </w:tblGrid>
    <w:tr w:rsidR="00DD5694" w:rsidRPr="00132658" w:rsidTr="001514F6">
      <w:trPr>
        <w:cantSplit/>
        <w:trHeight w:hRule="exact" w:val="113"/>
        <w:tblHeader/>
      </w:trPr>
      <w:tc>
        <w:tcPr>
          <w:tcW w:w="11907" w:type="dxa"/>
          <w:gridSpan w:val="4"/>
          <w:tcBorders>
            <w:top w:val="single" w:sz="48" w:space="0" w:color="CB6015"/>
          </w:tcBorders>
          <w:vAlign w:val="center"/>
        </w:tcPr>
        <w:p w:rsidR="00DD5694" w:rsidRPr="00132658" w:rsidRDefault="00DD5694" w:rsidP="001514F6">
          <w:pPr>
            <w:jc w:val="right"/>
            <w:rPr>
              <w:noProof/>
            </w:rPr>
          </w:pPr>
        </w:p>
      </w:tc>
    </w:tr>
    <w:tr w:rsidR="00DD5694" w:rsidRPr="00132658" w:rsidTr="001514F6">
      <w:trPr>
        <w:gridBefore w:val="1"/>
        <w:gridAfter w:val="1"/>
        <w:wBefore w:w="567" w:type="dxa"/>
        <w:wAfter w:w="708" w:type="dxa"/>
        <w:cantSplit/>
        <w:trHeight w:hRule="exact" w:val="1400"/>
        <w:tblHeader/>
      </w:trPr>
      <w:tc>
        <w:tcPr>
          <w:tcW w:w="8364" w:type="dxa"/>
          <w:vAlign w:val="center"/>
        </w:tcPr>
        <w:p w:rsidR="00DD5694" w:rsidRPr="009E36BF" w:rsidRDefault="00DD5694" w:rsidP="007512AA">
          <w:pPr>
            <w:pStyle w:val="NTGFooter1text"/>
          </w:pPr>
          <w:r w:rsidRPr="009E36BF">
            <w:t xml:space="preserve">For more information visit </w:t>
          </w:r>
          <w:r w:rsidR="007512AA" w:rsidRPr="007512AA">
            <w:rPr>
              <w:b/>
            </w:rPr>
            <w:t>denr.nt.gov.au</w:t>
          </w:r>
          <w:r w:rsidR="007512AA" w:rsidRPr="009E36BF">
            <w:t xml:space="preserve"> </w:t>
          </w:r>
        </w:p>
      </w:tc>
      <w:tc>
        <w:tcPr>
          <w:tcW w:w="2268" w:type="dxa"/>
          <w:vAlign w:val="center"/>
        </w:tcPr>
        <w:p w:rsidR="00DD5694" w:rsidRPr="001E14EB" w:rsidRDefault="00DD5694" w:rsidP="001514F6">
          <w:pPr>
            <w:jc w:val="right"/>
          </w:pPr>
          <w:r w:rsidRPr="00132658">
            <w:rPr>
              <w:noProof/>
              <w:lang w:eastAsia="en-AU"/>
            </w:rPr>
            <w:drawing>
              <wp:inline distT="0" distB="0" distL="0" distR="0" wp14:anchorId="620E8F3D" wp14:editId="639A04B4">
                <wp:extent cx="1347470" cy="481330"/>
                <wp:effectExtent l="0" t="0" r="5080" b="0"/>
                <wp:docPr id="11" name="Picture 1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DD5694" w:rsidRDefault="00DD5694" w:rsidP="001514F6">
    <w:pPr>
      <w:pStyle w:val="NTGfooter1sp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73" w:rsidRPr="000B527C" w:rsidRDefault="00332473" w:rsidP="000B527C">
      <w:pPr>
        <w:spacing w:after="60"/>
        <w:rPr>
          <w:sz w:val="20"/>
          <w:szCs w:val="20"/>
        </w:rPr>
      </w:pPr>
      <w:r>
        <w:separator/>
      </w:r>
    </w:p>
  </w:footnote>
  <w:footnote w:type="continuationSeparator" w:id="0">
    <w:p w:rsidR="00332473" w:rsidRPr="000B527C" w:rsidRDefault="00332473" w:rsidP="000B527C">
      <w:pPr>
        <w:spacing w:after="80"/>
        <w:rPr>
          <w:sz w:val="20"/>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282529479"/>
      <w:dataBinding w:prefixMappings="xmlns:ns0='http://purl.org/dc/elements/1.1/' xmlns:ns1='http://schemas.openxmlformats.org/package/2006/metadata/core-properties' " w:xpath="/ns1:coreProperties[1]/ns0:title[1]" w:storeItemID="{6C3C8BC8-F283-45AE-878A-BAB7291924A1}"/>
      <w:text/>
    </w:sdtPr>
    <w:sdtEndPr/>
    <w:sdtContent>
      <w:p w:rsidR="00DD5694" w:rsidRDefault="00C6293D" w:rsidP="001514F6">
        <w:pPr>
          <w:pStyle w:val="Header"/>
          <w:ind w:right="-568"/>
        </w:pPr>
        <w:r>
          <w:t>Fact sheet 5: Roles and responsibilities</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31" w:type="dxa"/>
      <w:tblInd w:w="42" w:type="dxa"/>
      <w:tblLook w:val="0600" w:firstRow="0" w:lastRow="0" w:firstColumn="0" w:lastColumn="0" w:noHBand="1" w:noVBand="1"/>
    </w:tblPr>
    <w:tblGrid>
      <w:gridCol w:w="258"/>
      <w:gridCol w:w="9873"/>
    </w:tblGrid>
    <w:tr w:rsidR="00DD5694" w:rsidRPr="0033290B" w:rsidTr="001514F6">
      <w:trPr>
        <w:trHeight w:val="1434"/>
        <w:tblHeader/>
      </w:trPr>
      <w:tc>
        <w:tcPr>
          <w:tcW w:w="258" w:type="dxa"/>
          <w:tcBorders>
            <w:top w:val="nil"/>
            <w:left w:val="nil"/>
            <w:bottom w:val="nil"/>
            <w:right w:val="nil"/>
          </w:tcBorders>
          <w:tcMar>
            <w:left w:w="0" w:type="dxa"/>
          </w:tcMar>
        </w:tcPr>
        <w:p w:rsidR="00DD5694" w:rsidRPr="0033290B" w:rsidRDefault="00DD5694" w:rsidP="001514F6">
          <w:r w:rsidRPr="0033290B">
            <w:rPr>
              <w:noProof/>
              <w:lang w:eastAsia="en-AU"/>
            </w:rPr>
            <mc:AlternateContent>
              <mc:Choice Requires="wpg">
                <w:drawing>
                  <wp:inline distT="0" distB="0" distL="0" distR="0" wp14:anchorId="796DE414" wp14:editId="07D3C3E3">
                    <wp:extent cx="93588" cy="882415"/>
                    <wp:effectExtent l="0" t="0" r="1905" b="0"/>
                    <wp:docPr id="28" name="Group 28"/>
                    <wp:cNvGraphicFramePr/>
                    <a:graphic xmlns:a="http://schemas.openxmlformats.org/drawingml/2006/main">
                      <a:graphicData uri="http://schemas.microsoft.com/office/word/2010/wordprocessingGroup">
                        <wpg:wgp>
                          <wpg:cNvGrpSpPr/>
                          <wpg:grpSpPr>
                            <a:xfrm>
                              <a:off x="0" y="0"/>
                              <a:ext cx="93588" cy="882415"/>
                              <a:chOff x="0" y="0"/>
                              <a:chExt cx="93588" cy="882415"/>
                            </a:xfrm>
                          </wpg:grpSpPr>
                          <wps:wsp>
                            <wps:cNvPr id="1" name="Rectangle 29"/>
                            <wps:cNvSpPr/>
                            <wps:spPr>
                              <a:xfrm>
                                <a:off x="0" y="0"/>
                                <a:ext cx="93588" cy="3999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1440" bIns="0" numCol="1" spcCol="0" rtlCol="0" fromWordArt="0" anchor="t" anchorCtr="0" forceAA="0" compatLnSpc="1">
                              <a:prstTxWarp prst="textNoShape">
                                <a:avLst/>
                              </a:prstTxWarp>
                              <a:noAutofit/>
                            </wps:bodyPr>
                          </wps:wsp>
                          <wps:wsp>
                            <wps:cNvPr id="2" name="Rectangle 30"/>
                            <wps:cNvSpPr/>
                            <wps:spPr>
                              <a:xfrm>
                                <a:off x="0" y="396816"/>
                                <a:ext cx="93588" cy="485599"/>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0000" bIns="0" numCol="1" spcCol="0" rtlCol="0" fromWordArt="0" anchor="t" anchorCtr="0" forceAA="0" compatLnSpc="1">
                              <a:prstTxWarp prst="textNoShape">
                                <a:avLst/>
                              </a:prstTxWarp>
                              <a:noAutofit/>
                            </wps:bodyPr>
                          </wps:wsp>
                        </wpg:wgp>
                      </a:graphicData>
                    </a:graphic>
                  </wp:inline>
                </w:drawing>
              </mc:Choice>
              <mc:Fallback>
                <w:pict>
                  <v:group w14:anchorId="408B00C9" id="Group 28" o:spid="_x0000_s1026" style="width:7.35pt;height:69.5pt;mso-position-horizontal-relative:char;mso-position-vertical-relative:line" coordsize="935,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">
                    <v:rect id="Rectangle 29" o:spid="_x0000_s1027" style="position:absolute;width:935;height:3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" fillcolor="black [3213]" stroked="f" strokeweight="2pt">
                      <v:textbox inset="0,0,,0"/>
                    </v:rect>
                    <v:rect id="Rectangle 30" o:spid="_x0000_s1028" style="position:absolute;top:3968;width:935;height: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" fillcolor="#cb6015" stroked="f" strokeweight="2pt">
                      <v:textbox inset="0,0,2.5mm,0"/>
                    </v:rect>
                    <w10:anchorlock/>
                  </v:group>
                </w:pict>
              </mc:Fallback>
            </mc:AlternateContent>
          </w:r>
        </w:p>
      </w:tc>
      <w:tc>
        <w:tcPr>
          <w:tcW w:w="9873" w:type="dxa"/>
          <w:tcBorders>
            <w:top w:val="nil"/>
            <w:left w:val="nil"/>
            <w:bottom w:val="nil"/>
            <w:right w:val="nil"/>
          </w:tcBorders>
          <w:tcMar>
            <w:left w:w="0" w:type="dxa"/>
          </w:tcMar>
          <w:vAlign w:val="bottom"/>
        </w:tcPr>
        <w:p w:rsidR="00DD5694" w:rsidRPr="0033290B" w:rsidRDefault="00DD5694" w:rsidP="00521378">
          <w:r w:rsidRPr="0033290B">
            <w:rPr>
              <w:rStyle w:val="NTGdepartmentofChar"/>
            </w:rPr>
            <w:fldChar w:fldCharType="begin"/>
          </w:r>
          <w:r w:rsidRPr="0033290B">
            <w:rPr>
              <w:rStyle w:val="NTGdepartmentofChar"/>
            </w:rPr>
            <w:instrText xml:space="preserve"> DOCPROPERTY  DepartmentOf  \* MERGEFORMAT </w:instrText>
          </w:r>
          <w:r w:rsidRPr="0033290B">
            <w:rPr>
              <w:rStyle w:val="NTGdepartmentofChar"/>
            </w:rPr>
            <w:fldChar w:fldCharType="separate"/>
          </w:r>
          <w:r w:rsidR="00C8113A">
            <w:rPr>
              <w:rStyle w:val="NTGdepartmentofChar"/>
            </w:rPr>
            <w:t>Department of</w:t>
          </w:r>
          <w:r w:rsidRPr="0033290B">
            <w:rPr>
              <w:rStyle w:val="NTGdepartmentofChar"/>
            </w:rPr>
            <w:fldChar w:fldCharType="end"/>
          </w:r>
          <w:r w:rsidRPr="0033290B">
            <w:br/>
          </w:r>
          <w:r w:rsidR="00521378">
            <w:rPr>
              <w:rStyle w:val="NTGdepartmentnameChar"/>
            </w:rPr>
            <w:t>Environment and natural resources</w:t>
          </w:r>
        </w:p>
      </w:tc>
    </w:tr>
  </w:tbl>
  <w:p w:rsidR="00DD5694" w:rsidRDefault="00DD5694" w:rsidP="001514F6">
    <w:pPr>
      <w:pStyle w:val="NTGheader1spac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990"/>
    <w:multiLevelType w:val="multilevel"/>
    <w:tmpl w:val="48728AA6"/>
    <w:name w:val="NTG Table Bullet List33222222222222222"/>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1" w15:restartNumberingAfterBreak="0">
    <w:nsid w:val="067E52AF"/>
    <w:multiLevelType w:val="hybridMultilevel"/>
    <w:tmpl w:val="C5B0A30A"/>
    <w:lvl w:ilvl="0" w:tplc="47BAF9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95C17"/>
    <w:multiLevelType w:val="hybridMultilevel"/>
    <w:tmpl w:val="45F4EFF0"/>
    <w:lvl w:ilvl="0" w:tplc="56DCCC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62063"/>
    <w:multiLevelType w:val="hybridMultilevel"/>
    <w:tmpl w:val="3BDA6694"/>
    <w:lvl w:ilvl="0" w:tplc="BA84F4EC">
      <w:start w:val="1"/>
      <w:numFmt w:val="bullet"/>
      <w:lvlText w:val=""/>
      <w:lvlJc w:val="left"/>
      <w:pPr>
        <w:ind w:left="1853" w:hanging="361"/>
      </w:pPr>
      <w:rPr>
        <w:rFonts w:ascii="Symbol" w:eastAsia="Symbol" w:hAnsi="Symbol" w:hint="default"/>
        <w:sz w:val="22"/>
        <w:szCs w:val="22"/>
      </w:rPr>
    </w:lvl>
    <w:lvl w:ilvl="1" w:tplc="9C968E24">
      <w:start w:val="1"/>
      <w:numFmt w:val="bullet"/>
      <w:lvlText w:val="•"/>
      <w:lvlJc w:val="left"/>
      <w:pPr>
        <w:ind w:left="2858" w:hanging="361"/>
      </w:pPr>
      <w:rPr>
        <w:rFonts w:hint="default"/>
      </w:rPr>
    </w:lvl>
    <w:lvl w:ilvl="2" w:tplc="6F8A931C">
      <w:start w:val="1"/>
      <w:numFmt w:val="bullet"/>
      <w:lvlText w:val="•"/>
      <w:lvlJc w:val="left"/>
      <w:pPr>
        <w:ind w:left="3863" w:hanging="361"/>
      </w:pPr>
      <w:rPr>
        <w:rFonts w:hint="default"/>
      </w:rPr>
    </w:lvl>
    <w:lvl w:ilvl="3" w:tplc="446061F8">
      <w:start w:val="1"/>
      <w:numFmt w:val="bullet"/>
      <w:lvlText w:val="•"/>
      <w:lvlJc w:val="left"/>
      <w:pPr>
        <w:ind w:left="4869" w:hanging="361"/>
      </w:pPr>
      <w:rPr>
        <w:rFonts w:hint="default"/>
      </w:rPr>
    </w:lvl>
    <w:lvl w:ilvl="4" w:tplc="DC3C7B98">
      <w:start w:val="1"/>
      <w:numFmt w:val="bullet"/>
      <w:lvlText w:val="•"/>
      <w:lvlJc w:val="left"/>
      <w:pPr>
        <w:ind w:left="5874" w:hanging="361"/>
      </w:pPr>
      <w:rPr>
        <w:rFonts w:hint="default"/>
      </w:rPr>
    </w:lvl>
    <w:lvl w:ilvl="5" w:tplc="EEF85176">
      <w:start w:val="1"/>
      <w:numFmt w:val="bullet"/>
      <w:lvlText w:val="•"/>
      <w:lvlJc w:val="left"/>
      <w:pPr>
        <w:ind w:left="6879" w:hanging="361"/>
      </w:pPr>
      <w:rPr>
        <w:rFonts w:hint="default"/>
      </w:rPr>
    </w:lvl>
    <w:lvl w:ilvl="6" w:tplc="6EA64CC8">
      <w:start w:val="1"/>
      <w:numFmt w:val="bullet"/>
      <w:lvlText w:val="•"/>
      <w:lvlJc w:val="left"/>
      <w:pPr>
        <w:ind w:left="7885" w:hanging="361"/>
      </w:pPr>
      <w:rPr>
        <w:rFonts w:hint="default"/>
      </w:rPr>
    </w:lvl>
    <w:lvl w:ilvl="7" w:tplc="F3DCF0AA">
      <w:start w:val="1"/>
      <w:numFmt w:val="bullet"/>
      <w:lvlText w:val="•"/>
      <w:lvlJc w:val="left"/>
      <w:pPr>
        <w:ind w:left="8890" w:hanging="361"/>
      </w:pPr>
      <w:rPr>
        <w:rFonts w:hint="default"/>
      </w:rPr>
    </w:lvl>
    <w:lvl w:ilvl="8" w:tplc="5C245AD0">
      <w:start w:val="1"/>
      <w:numFmt w:val="bullet"/>
      <w:lvlText w:val="•"/>
      <w:lvlJc w:val="left"/>
      <w:pPr>
        <w:ind w:left="9895" w:hanging="361"/>
      </w:pPr>
      <w:rPr>
        <w:rFonts w:hint="default"/>
      </w:rPr>
    </w:lvl>
  </w:abstractNum>
  <w:abstractNum w:abstractNumId="4"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2666541D"/>
    <w:multiLevelType w:val="hybridMultilevel"/>
    <w:tmpl w:val="6D6C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685A4C"/>
    <w:multiLevelType w:val="hybridMultilevel"/>
    <w:tmpl w:val="590A5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AC0BD5"/>
    <w:multiLevelType w:val="multilevel"/>
    <w:tmpl w:val="39746A98"/>
    <w:name w:val="NTG Table Bullet List322232"/>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8" w15:restartNumberingAfterBreak="0">
    <w:nsid w:val="34AD05EB"/>
    <w:multiLevelType w:val="hybridMultilevel"/>
    <w:tmpl w:val="34F27D7A"/>
    <w:lvl w:ilvl="0" w:tplc="2D266448">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C0715C"/>
    <w:multiLevelType w:val="hybridMultilevel"/>
    <w:tmpl w:val="BF06F97E"/>
    <w:lvl w:ilvl="0" w:tplc="15605A6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673A96"/>
    <w:multiLevelType w:val="multilevel"/>
    <w:tmpl w:val="4E6AC8F6"/>
    <w:numStyleLink w:val="NTGStandardNumList"/>
  </w:abstractNum>
  <w:abstractNum w:abstractNumId="11" w15:restartNumberingAfterBreak="0">
    <w:nsid w:val="3E283AEF"/>
    <w:multiLevelType w:val="hybridMultilevel"/>
    <w:tmpl w:val="B0E4AA36"/>
    <w:lvl w:ilvl="0" w:tplc="604E26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D92ADC"/>
    <w:multiLevelType w:val="hybridMultilevel"/>
    <w:tmpl w:val="2744D1AA"/>
    <w:lvl w:ilvl="0" w:tplc="17E880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90555D"/>
    <w:multiLevelType w:val="multilevel"/>
    <w:tmpl w:val="4E6AC8F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4F7B731A"/>
    <w:multiLevelType w:val="multilevel"/>
    <w:tmpl w:val="48728AA6"/>
    <w:numStyleLink w:val="NTGTableList"/>
  </w:abstractNum>
  <w:abstractNum w:abstractNumId="15" w15:restartNumberingAfterBreak="0">
    <w:nsid w:val="514D2C3E"/>
    <w:multiLevelType w:val="hybridMultilevel"/>
    <w:tmpl w:val="0E88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D905B6"/>
    <w:multiLevelType w:val="multilevel"/>
    <w:tmpl w:val="4E6AC8F6"/>
    <w:numStyleLink w:val="NTGStandardNumList"/>
  </w:abstractNum>
  <w:abstractNum w:abstractNumId="17" w15:restartNumberingAfterBreak="0">
    <w:nsid w:val="54603364"/>
    <w:multiLevelType w:val="hybridMultilevel"/>
    <w:tmpl w:val="6774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E15B1A"/>
    <w:multiLevelType w:val="hybridMultilevel"/>
    <w:tmpl w:val="8D486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C92A3A"/>
    <w:multiLevelType w:val="hybridMultilevel"/>
    <w:tmpl w:val="362A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C17D9D"/>
    <w:multiLevelType w:val="multilevel"/>
    <w:tmpl w:val="39746A98"/>
    <w:numStyleLink w:val="NTGTableNumList"/>
  </w:abstractNum>
  <w:abstractNum w:abstractNumId="21" w15:restartNumberingAfterBreak="0">
    <w:nsid w:val="7C15069B"/>
    <w:multiLevelType w:val="hybridMultilevel"/>
    <w:tmpl w:val="2E82A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C1D48"/>
    <w:multiLevelType w:val="multilevel"/>
    <w:tmpl w:val="BD7A8414"/>
    <w:numStyleLink w:val="NTGStandardList"/>
  </w:abstractNum>
  <w:num w:numId="1">
    <w:abstractNumId w:val="4"/>
  </w:num>
  <w:num w:numId="2">
    <w:abstractNumId w:val="13"/>
  </w:num>
  <w:num w:numId="3">
    <w:abstractNumId w:val="0"/>
  </w:num>
  <w:num w:numId="4">
    <w:abstractNumId w:val="7"/>
  </w:num>
  <w:num w:numId="5">
    <w:abstractNumId w:val="16"/>
  </w:num>
  <w:num w:numId="6">
    <w:abstractNumId w:val="20"/>
  </w:num>
  <w:num w:numId="7">
    <w:abstractNumId w:val="22"/>
  </w:num>
  <w:num w:numId="8">
    <w:abstractNumId w:val="14"/>
  </w:num>
  <w:num w:numId="9">
    <w:abstractNumId w:val="21"/>
  </w:num>
  <w:num w:numId="10">
    <w:abstractNumId w:val="5"/>
  </w:num>
  <w:num w:numId="11">
    <w:abstractNumId w:val="15"/>
  </w:num>
  <w:num w:numId="12">
    <w:abstractNumId w:val="19"/>
  </w:num>
  <w:num w:numId="13">
    <w:abstractNumId w:val="6"/>
  </w:num>
  <w:num w:numId="14">
    <w:abstractNumId w:val="3"/>
  </w:num>
  <w:num w:numId="15">
    <w:abstractNumId w:val="1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17"/>
  </w:num>
  <w:num w:numId="20">
    <w:abstractNumId w:val="11"/>
  </w:num>
  <w:num w:numId="21">
    <w:abstractNumId w:val="2"/>
  </w:num>
  <w:num w:numId="22">
    <w:abstractNumId w:val="12"/>
  </w:num>
  <w:num w:numId="2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73"/>
    <w:rsid w:val="000006B9"/>
    <w:rsid w:val="000171B2"/>
    <w:rsid w:val="00025A52"/>
    <w:rsid w:val="0005221E"/>
    <w:rsid w:val="000909B6"/>
    <w:rsid w:val="00093A03"/>
    <w:rsid w:val="000A4DE4"/>
    <w:rsid w:val="000A6BB8"/>
    <w:rsid w:val="000B151D"/>
    <w:rsid w:val="000B527C"/>
    <w:rsid w:val="000C5726"/>
    <w:rsid w:val="000E20B1"/>
    <w:rsid w:val="000F294B"/>
    <w:rsid w:val="00102DCC"/>
    <w:rsid w:val="001102F2"/>
    <w:rsid w:val="00113C63"/>
    <w:rsid w:val="0013262F"/>
    <w:rsid w:val="001416E3"/>
    <w:rsid w:val="00142DA5"/>
    <w:rsid w:val="001514F6"/>
    <w:rsid w:val="001637C9"/>
    <w:rsid w:val="00165EEF"/>
    <w:rsid w:val="00167D47"/>
    <w:rsid w:val="001839D9"/>
    <w:rsid w:val="001A76D2"/>
    <w:rsid w:val="001C101B"/>
    <w:rsid w:val="001C44BE"/>
    <w:rsid w:val="001C6AE7"/>
    <w:rsid w:val="001D19D0"/>
    <w:rsid w:val="001E05C3"/>
    <w:rsid w:val="001E1B1D"/>
    <w:rsid w:val="001E1CCA"/>
    <w:rsid w:val="001F2594"/>
    <w:rsid w:val="00230D72"/>
    <w:rsid w:val="00231DB3"/>
    <w:rsid w:val="0023336B"/>
    <w:rsid w:val="0024667C"/>
    <w:rsid w:val="00254556"/>
    <w:rsid w:val="00264313"/>
    <w:rsid w:val="002679F4"/>
    <w:rsid w:val="00270958"/>
    <w:rsid w:val="00271112"/>
    <w:rsid w:val="00273A77"/>
    <w:rsid w:val="00276837"/>
    <w:rsid w:val="002877CA"/>
    <w:rsid w:val="002B2C86"/>
    <w:rsid w:val="002C04BD"/>
    <w:rsid w:val="002C3C0B"/>
    <w:rsid w:val="002E0531"/>
    <w:rsid w:val="002E094A"/>
    <w:rsid w:val="00307A62"/>
    <w:rsid w:val="00332339"/>
    <w:rsid w:val="00332473"/>
    <w:rsid w:val="0033290B"/>
    <w:rsid w:val="00332BA2"/>
    <w:rsid w:val="00345F19"/>
    <w:rsid w:val="003462D0"/>
    <w:rsid w:val="0038201C"/>
    <w:rsid w:val="00382609"/>
    <w:rsid w:val="00387556"/>
    <w:rsid w:val="00390C99"/>
    <w:rsid w:val="003A4DCA"/>
    <w:rsid w:val="003A6162"/>
    <w:rsid w:val="003B2050"/>
    <w:rsid w:val="003B4BCB"/>
    <w:rsid w:val="003C0B25"/>
    <w:rsid w:val="003D25DC"/>
    <w:rsid w:val="003E5ABB"/>
    <w:rsid w:val="003E5DB8"/>
    <w:rsid w:val="004052CB"/>
    <w:rsid w:val="00405372"/>
    <w:rsid w:val="00407C87"/>
    <w:rsid w:val="0042438F"/>
    <w:rsid w:val="0042638E"/>
    <w:rsid w:val="00434333"/>
    <w:rsid w:val="004377B5"/>
    <w:rsid w:val="0044316B"/>
    <w:rsid w:val="00452E75"/>
    <w:rsid w:val="00453C37"/>
    <w:rsid w:val="00474AC3"/>
    <w:rsid w:val="00486929"/>
    <w:rsid w:val="004A701A"/>
    <w:rsid w:val="004F656A"/>
    <w:rsid w:val="0050398E"/>
    <w:rsid w:val="00513F20"/>
    <w:rsid w:val="00521378"/>
    <w:rsid w:val="0053381D"/>
    <w:rsid w:val="00544316"/>
    <w:rsid w:val="00582CF5"/>
    <w:rsid w:val="005B0917"/>
    <w:rsid w:val="005B2B13"/>
    <w:rsid w:val="005D17AF"/>
    <w:rsid w:val="005D257B"/>
    <w:rsid w:val="005D6AA0"/>
    <w:rsid w:val="005E718F"/>
    <w:rsid w:val="00606F42"/>
    <w:rsid w:val="00616305"/>
    <w:rsid w:val="00636729"/>
    <w:rsid w:val="0063745F"/>
    <w:rsid w:val="00637D95"/>
    <w:rsid w:val="00650F79"/>
    <w:rsid w:val="0066660A"/>
    <w:rsid w:val="00673F66"/>
    <w:rsid w:val="0068621D"/>
    <w:rsid w:val="0068743A"/>
    <w:rsid w:val="006D2EF5"/>
    <w:rsid w:val="006D6004"/>
    <w:rsid w:val="006F0BF0"/>
    <w:rsid w:val="006F1A32"/>
    <w:rsid w:val="006F380C"/>
    <w:rsid w:val="007217AB"/>
    <w:rsid w:val="00724338"/>
    <w:rsid w:val="00725DA1"/>
    <w:rsid w:val="00745C62"/>
    <w:rsid w:val="00750943"/>
    <w:rsid w:val="007512AA"/>
    <w:rsid w:val="00757845"/>
    <w:rsid w:val="00763A7E"/>
    <w:rsid w:val="00780DC5"/>
    <w:rsid w:val="00786219"/>
    <w:rsid w:val="007A5A09"/>
    <w:rsid w:val="007B6847"/>
    <w:rsid w:val="007C4403"/>
    <w:rsid w:val="007E71D7"/>
    <w:rsid w:val="007F2639"/>
    <w:rsid w:val="007F5484"/>
    <w:rsid w:val="008006E6"/>
    <w:rsid w:val="00803F43"/>
    <w:rsid w:val="00810C0B"/>
    <w:rsid w:val="00816544"/>
    <w:rsid w:val="0081678C"/>
    <w:rsid w:val="00817D6C"/>
    <w:rsid w:val="00836E53"/>
    <w:rsid w:val="00850285"/>
    <w:rsid w:val="00863189"/>
    <w:rsid w:val="00871D43"/>
    <w:rsid w:val="00872BE1"/>
    <w:rsid w:val="008E5DE5"/>
    <w:rsid w:val="008F5152"/>
    <w:rsid w:val="00903161"/>
    <w:rsid w:val="00904EBD"/>
    <w:rsid w:val="009229EF"/>
    <w:rsid w:val="00923EA4"/>
    <w:rsid w:val="00926B69"/>
    <w:rsid w:val="009271FD"/>
    <w:rsid w:val="0095250B"/>
    <w:rsid w:val="009530AF"/>
    <w:rsid w:val="00956890"/>
    <w:rsid w:val="00967B4D"/>
    <w:rsid w:val="009746F0"/>
    <w:rsid w:val="00980344"/>
    <w:rsid w:val="00983CDE"/>
    <w:rsid w:val="009A52FB"/>
    <w:rsid w:val="009C2FD1"/>
    <w:rsid w:val="009C325A"/>
    <w:rsid w:val="009C5F3A"/>
    <w:rsid w:val="009E36BF"/>
    <w:rsid w:val="009E5740"/>
    <w:rsid w:val="009E6EF7"/>
    <w:rsid w:val="009F0840"/>
    <w:rsid w:val="009F4854"/>
    <w:rsid w:val="00A00527"/>
    <w:rsid w:val="00A23809"/>
    <w:rsid w:val="00A3211F"/>
    <w:rsid w:val="00A455AF"/>
    <w:rsid w:val="00A54BC5"/>
    <w:rsid w:val="00A70A18"/>
    <w:rsid w:val="00A75B45"/>
    <w:rsid w:val="00AA06BE"/>
    <w:rsid w:val="00AA14F2"/>
    <w:rsid w:val="00AA793E"/>
    <w:rsid w:val="00AB2D8B"/>
    <w:rsid w:val="00AB32A2"/>
    <w:rsid w:val="00AC7C45"/>
    <w:rsid w:val="00AF32D8"/>
    <w:rsid w:val="00B14C73"/>
    <w:rsid w:val="00B20118"/>
    <w:rsid w:val="00B203BE"/>
    <w:rsid w:val="00B210DF"/>
    <w:rsid w:val="00B437F5"/>
    <w:rsid w:val="00B46B97"/>
    <w:rsid w:val="00B74E36"/>
    <w:rsid w:val="00B806CD"/>
    <w:rsid w:val="00B86F55"/>
    <w:rsid w:val="00B942E3"/>
    <w:rsid w:val="00BA04B7"/>
    <w:rsid w:val="00BA4691"/>
    <w:rsid w:val="00BB4015"/>
    <w:rsid w:val="00BE2D22"/>
    <w:rsid w:val="00BE4808"/>
    <w:rsid w:val="00C02684"/>
    <w:rsid w:val="00C23305"/>
    <w:rsid w:val="00C53CD1"/>
    <w:rsid w:val="00C559D5"/>
    <w:rsid w:val="00C6293D"/>
    <w:rsid w:val="00C62A53"/>
    <w:rsid w:val="00C66696"/>
    <w:rsid w:val="00C80CED"/>
    <w:rsid w:val="00C8113A"/>
    <w:rsid w:val="00C84059"/>
    <w:rsid w:val="00C845BE"/>
    <w:rsid w:val="00C90B75"/>
    <w:rsid w:val="00C9428D"/>
    <w:rsid w:val="00CA3D68"/>
    <w:rsid w:val="00CB285D"/>
    <w:rsid w:val="00CB6B66"/>
    <w:rsid w:val="00CC7B5F"/>
    <w:rsid w:val="00CD1BAA"/>
    <w:rsid w:val="00CF38CF"/>
    <w:rsid w:val="00CF6990"/>
    <w:rsid w:val="00CF71AD"/>
    <w:rsid w:val="00D064A3"/>
    <w:rsid w:val="00D179ED"/>
    <w:rsid w:val="00D23389"/>
    <w:rsid w:val="00D54727"/>
    <w:rsid w:val="00D62EDE"/>
    <w:rsid w:val="00D70C8A"/>
    <w:rsid w:val="00D850F7"/>
    <w:rsid w:val="00D92816"/>
    <w:rsid w:val="00DA0C62"/>
    <w:rsid w:val="00DC1827"/>
    <w:rsid w:val="00DC266F"/>
    <w:rsid w:val="00DC60FA"/>
    <w:rsid w:val="00DC7344"/>
    <w:rsid w:val="00DD002C"/>
    <w:rsid w:val="00DD5694"/>
    <w:rsid w:val="00E0442D"/>
    <w:rsid w:val="00E172EB"/>
    <w:rsid w:val="00E21E1E"/>
    <w:rsid w:val="00E34761"/>
    <w:rsid w:val="00E36EBF"/>
    <w:rsid w:val="00E41C7E"/>
    <w:rsid w:val="00E527FB"/>
    <w:rsid w:val="00E609C7"/>
    <w:rsid w:val="00E77753"/>
    <w:rsid w:val="00E914BF"/>
    <w:rsid w:val="00E96BB4"/>
    <w:rsid w:val="00EC35D9"/>
    <w:rsid w:val="00EC5192"/>
    <w:rsid w:val="00EE7B4A"/>
    <w:rsid w:val="00F02A37"/>
    <w:rsid w:val="00F03902"/>
    <w:rsid w:val="00F05620"/>
    <w:rsid w:val="00F14B32"/>
    <w:rsid w:val="00F23479"/>
    <w:rsid w:val="00F33EF1"/>
    <w:rsid w:val="00F36795"/>
    <w:rsid w:val="00F41395"/>
    <w:rsid w:val="00F44E7D"/>
    <w:rsid w:val="00F516F2"/>
    <w:rsid w:val="00F61AB3"/>
    <w:rsid w:val="00F842A6"/>
    <w:rsid w:val="00F84680"/>
    <w:rsid w:val="00F969CB"/>
    <w:rsid w:val="00FC6442"/>
    <w:rsid w:val="00FD2BA1"/>
    <w:rsid w:val="00FD3A25"/>
    <w:rsid w:val="00FE07BC"/>
    <w:rsid w:val="00FE7A6E"/>
    <w:rsid w:val="00FF1DB7"/>
    <w:rsid w:val="00FF7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5CC064E-D527-494F-92B2-9A3186A6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4"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22"/>
  </w:style>
  <w:style w:type="paragraph" w:styleId="Heading1">
    <w:name w:val="heading 1"/>
    <w:next w:val="Normal"/>
    <w:link w:val="Heading1Char"/>
    <w:uiPriority w:val="1"/>
    <w:qFormat/>
    <w:rsid w:val="0005221E"/>
    <w:pPr>
      <w:keepNext/>
      <w:keepLines/>
      <w:spacing w:before="240" w:after="120"/>
      <w:outlineLvl w:val="0"/>
    </w:pPr>
    <w:rPr>
      <w:rFonts w:eastAsiaTheme="majorEastAsia" w:cs="Arial"/>
      <w:b/>
      <w:bCs/>
      <w:kern w:val="32"/>
      <w:sz w:val="32"/>
      <w:szCs w:val="32"/>
      <w:lang w:eastAsia="en-AU"/>
    </w:rPr>
  </w:style>
  <w:style w:type="paragraph" w:styleId="Heading2">
    <w:name w:val="heading 2"/>
    <w:next w:val="Normal"/>
    <w:link w:val="Heading2Char"/>
    <w:uiPriority w:val="1"/>
    <w:qFormat/>
    <w:rsid w:val="000F294B"/>
    <w:pPr>
      <w:keepNext/>
      <w:keepLines/>
      <w:spacing w:before="240" w:after="120"/>
      <w:outlineLvl w:val="1"/>
    </w:pPr>
    <w:rPr>
      <w:rFonts w:eastAsiaTheme="majorEastAsia" w:cs="Arial"/>
      <w:b/>
      <w:bCs/>
      <w:color w:val="606060"/>
      <w:kern w:val="32"/>
      <w:sz w:val="28"/>
      <w:szCs w:val="28"/>
      <w:lang w:eastAsia="en-AU"/>
    </w:rPr>
  </w:style>
  <w:style w:type="paragraph" w:styleId="Heading3">
    <w:name w:val="heading 3"/>
    <w:next w:val="Normal"/>
    <w:link w:val="Heading3Char"/>
    <w:uiPriority w:val="1"/>
    <w:qFormat/>
    <w:rsid w:val="000F294B"/>
    <w:pPr>
      <w:keepNext/>
      <w:keepLines/>
      <w:spacing w:before="240" w:after="120"/>
      <w:outlineLvl w:val="2"/>
    </w:pPr>
    <w:rPr>
      <w:rFonts w:eastAsiaTheme="majorEastAsia" w:cs="Arial"/>
      <w:b/>
      <w:bCs/>
      <w:kern w:val="32"/>
      <w:sz w:val="24"/>
      <w:szCs w:val="24"/>
      <w:lang w:eastAsia="en-AU"/>
    </w:rPr>
  </w:style>
  <w:style w:type="paragraph" w:styleId="Heading4">
    <w:name w:val="heading 4"/>
    <w:next w:val="Normal"/>
    <w:link w:val="Heading4Char"/>
    <w:uiPriority w:val="1"/>
    <w:qFormat/>
    <w:rsid w:val="002679F4"/>
    <w:pPr>
      <w:keepNext/>
      <w:keepLines/>
      <w:spacing w:before="360"/>
      <w:outlineLvl w:val="3"/>
    </w:pPr>
    <w:rPr>
      <w:rFonts w:eastAsiaTheme="majorEastAsia" w:cs="Arial"/>
      <w:b/>
      <w:bCs/>
      <w:color w:val="606060"/>
      <w:kern w:val="32"/>
      <w:lang w:eastAsia="en-AU"/>
    </w:rPr>
  </w:style>
  <w:style w:type="paragraph" w:styleId="Heading5">
    <w:name w:val="heading 5"/>
    <w:next w:val="Normal"/>
    <w:link w:val="Heading5Char"/>
    <w:uiPriority w:val="9"/>
    <w:rsid w:val="002679F4"/>
    <w:pPr>
      <w:keepNext/>
      <w:keepLines/>
      <w:spacing w:before="200" w:after="120"/>
      <w:outlineLvl w:val="4"/>
    </w:pPr>
    <w:rPr>
      <w:rFonts w:eastAsiaTheme="majorEastAsia" w:cstheme="majorBidi"/>
      <w:b/>
      <w:color w:val="000000" w:themeColor="text1"/>
      <w:szCs w:val="20"/>
      <w:lang w:eastAsia="en-AU"/>
    </w:rPr>
  </w:style>
  <w:style w:type="paragraph" w:styleId="Heading6">
    <w:name w:val="heading 6"/>
    <w:basedOn w:val="Normal"/>
    <w:next w:val="Normal"/>
    <w:link w:val="Heading6Char"/>
    <w:uiPriority w:val="9"/>
    <w:rsid w:val="002679F4"/>
    <w:pPr>
      <w:keepNext/>
      <w:keepLines/>
      <w:spacing w:before="200" w:after="120"/>
      <w:outlineLvl w:val="5"/>
    </w:pPr>
    <w:rPr>
      <w:rFonts w:eastAsiaTheme="majorEastAsia" w:cstheme="majorBidi"/>
      <w:b/>
      <w:iCs/>
      <w:color w:val="606060"/>
    </w:rPr>
  </w:style>
  <w:style w:type="paragraph" w:styleId="Heading7">
    <w:name w:val="heading 7"/>
    <w:basedOn w:val="Normal"/>
    <w:next w:val="Normal"/>
    <w:link w:val="Heading7Char"/>
    <w:uiPriority w:val="9"/>
    <w:rsid w:val="002679F4"/>
    <w:pPr>
      <w:keepNext/>
      <w:keepLines/>
      <w:spacing w:before="200" w:after="120"/>
      <w:outlineLvl w:val="6"/>
    </w:pPr>
    <w:rPr>
      <w:rFonts w:eastAsiaTheme="majorEastAsia" w:cstheme="majorBidi"/>
      <w:b/>
      <w:iCs/>
      <w:color w:val="000000" w:themeColor="text1"/>
    </w:rPr>
  </w:style>
  <w:style w:type="paragraph" w:styleId="Heading8">
    <w:name w:val="heading 8"/>
    <w:basedOn w:val="Normal"/>
    <w:next w:val="Normal"/>
    <w:link w:val="Heading8Char"/>
    <w:uiPriority w:val="9"/>
    <w:rsid w:val="002679F4"/>
    <w:pPr>
      <w:keepNext/>
      <w:keepLines/>
      <w:spacing w:before="200" w:after="120"/>
      <w:outlineLvl w:val="7"/>
    </w:pPr>
    <w:rPr>
      <w:rFonts w:eastAsiaTheme="majorEastAsia" w:cstheme="majorBidi"/>
      <w:b/>
      <w:color w:val="606060"/>
    </w:rPr>
  </w:style>
  <w:style w:type="paragraph" w:styleId="Heading9">
    <w:name w:val="heading 9"/>
    <w:basedOn w:val="Normal"/>
    <w:next w:val="Normal"/>
    <w:link w:val="Heading9Char"/>
    <w:uiPriority w:val="9"/>
    <w:rsid w:val="002679F4"/>
    <w:pPr>
      <w:keepNext/>
      <w:keepLines/>
      <w:spacing w:before="200" w:after="120"/>
      <w:outlineLvl w:val="8"/>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NTG Page Header"/>
    <w:basedOn w:val="Normal"/>
    <w:next w:val="Normal"/>
    <w:link w:val="HeaderChar"/>
    <w:uiPriority w:val="99"/>
    <w:rsid w:val="0033290B"/>
    <w:pPr>
      <w:tabs>
        <w:tab w:val="center" w:pos="4513"/>
        <w:tab w:val="right" w:pos="9026"/>
      </w:tabs>
      <w:spacing w:before="709"/>
      <w:jc w:val="right"/>
    </w:pPr>
    <w:rPr>
      <w:rFonts w:eastAsia="Calibri"/>
      <w:b/>
    </w:rPr>
  </w:style>
  <w:style w:type="character" w:customStyle="1" w:styleId="HeaderChar">
    <w:name w:val="Header Char"/>
    <w:aliases w:val="NTG Page Header Char"/>
    <w:basedOn w:val="DefaultParagraphFont"/>
    <w:link w:val="Header"/>
    <w:uiPriority w:val="99"/>
    <w:rsid w:val="0033290B"/>
    <w:rPr>
      <w:rFonts w:ascii="Arial" w:eastAsia="Calibri" w:hAnsi="Arial" w:cs="Times New Roman"/>
      <w:b/>
    </w:rPr>
  </w:style>
  <w:style w:type="numbering" w:customStyle="1" w:styleId="NTGStandardList">
    <w:name w:val="NTG Standard List"/>
    <w:basedOn w:val="NoList"/>
    <w:rsid w:val="00273A77"/>
    <w:pPr>
      <w:numPr>
        <w:numId w:val="1"/>
      </w:numPr>
    </w:pPr>
  </w:style>
  <w:style w:type="table" w:styleId="TableTheme">
    <w:name w:val="Table Theme"/>
    <w:basedOn w:val="TableNormal"/>
    <w:uiPriority w:val="99"/>
    <w:semiHidden/>
    <w:unhideWhenUsed/>
    <w:rsid w:val="00872BE1"/>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departmentof">
    <w:name w:val="NTG department of"/>
    <w:link w:val="NTGdepartmentofChar"/>
    <w:uiPriority w:val="2"/>
    <w:rsid w:val="003E5ABB"/>
    <w:pPr>
      <w:spacing w:after="0"/>
    </w:pPr>
    <w:rPr>
      <w:rFonts w:cs="Lato Regular"/>
      <w:caps/>
      <w:color w:val="231F20"/>
      <w:sz w:val="20"/>
      <w:szCs w:val="24"/>
      <w:u w:color="000000"/>
      <w:lang w:eastAsia="ja-JP"/>
    </w:rPr>
  </w:style>
  <w:style w:type="paragraph" w:customStyle="1" w:styleId="NTGdepartmentname">
    <w:name w:val="NTG department name"/>
    <w:basedOn w:val="NTGdepartmentof"/>
    <w:link w:val="NTGdepartmentnameChar"/>
    <w:uiPriority w:val="2"/>
    <w:rsid w:val="003E5ABB"/>
    <w:rPr>
      <w:rFonts w:ascii="Arial Black" w:hAnsi="Arial Black" w:cs="Lato Black"/>
    </w:rPr>
  </w:style>
  <w:style w:type="paragraph" w:customStyle="1" w:styleId="Reporttitle">
    <w:name w:val="Report title"/>
    <w:uiPriority w:val="99"/>
    <w:rsid w:val="003E5ABB"/>
    <w:pPr>
      <w:autoSpaceDE w:val="0"/>
      <w:autoSpaceDN w:val="0"/>
      <w:adjustRightInd w:val="0"/>
      <w:spacing w:after="0" w:line="700" w:lineRule="atLeast"/>
      <w:textAlignment w:val="center"/>
    </w:pPr>
    <w:rPr>
      <w:rFonts w:cs="Lato Black"/>
      <w:color w:val="FFFFFF"/>
      <w:sz w:val="66"/>
      <w:szCs w:val="66"/>
    </w:rPr>
  </w:style>
  <w:style w:type="paragraph" w:customStyle="1" w:styleId="Subheading">
    <w:name w:val="Subheading"/>
    <w:uiPriority w:val="99"/>
    <w:qFormat/>
    <w:rsid w:val="0005221E"/>
    <w:pPr>
      <w:spacing w:before="360" w:after="240"/>
    </w:pPr>
    <w:rPr>
      <w:rFonts w:eastAsia="Times New Roman" w:cs="Arial"/>
      <w:b/>
      <w:color w:val="CB6015"/>
      <w:sz w:val="36"/>
      <w:szCs w:val="36"/>
      <w:lang w:eastAsia="en-AU"/>
    </w:rPr>
  </w:style>
  <w:style w:type="paragraph" w:styleId="NoSpacing">
    <w:name w:val="No Spacing"/>
    <w:uiPriority w:val="1"/>
    <w:rsid w:val="00165EEF"/>
    <w:pPr>
      <w:spacing w:after="0"/>
      <w:ind w:left="284"/>
    </w:pPr>
  </w:style>
  <w:style w:type="character" w:customStyle="1" w:styleId="Heading1Char">
    <w:name w:val="Heading 1 Char"/>
    <w:basedOn w:val="DefaultParagraphFont"/>
    <w:link w:val="Heading1"/>
    <w:uiPriority w:val="1"/>
    <w:rsid w:val="0005221E"/>
    <w:rPr>
      <w:rFonts w:eastAsiaTheme="majorEastAsia" w:cs="Arial"/>
      <w:b/>
      <w:bCs/>
      <w:kern w:val="32"/>
      <w:sz w:val="32"/>
      <w:szCs w:val="32"/>
      <w:lang w:eastAsia="en-AU"/>
    </w:rPr>
  </w:style>
  <w:style w:type="character" w:customStyle="1" w:styleId="Heading2Char">
    <w:name w:val="Heading 2 Char"/>
    <w:basedOn w:val="DefaultParagraphFont"/>
    <w:link w:val="Heading2"/>
    <w:uiPriority w:val="1"/>
    <w:rsid w:val="000F294B"/>
    <w:rPr>
      <w:rFonts w:eastAsiaTheme="majorEastAsia" w:cs="Arial"/>
      <w:b/>
      <w:bCs/>
      <w:color w:val="606060"/>
      <w:kern w:val="32"/>
      <w:sz w:val="28"/>
      <w:szCs w:val="28"/>
      <w:lang w:eastAsia="en-AU"/>
    </w:rPr>
  </w:style>
  <w:style w:type="character" w:customStyle="1" w:styleId="Heading3Char">
    <w:name w:val="Heading 3 Char"/>
    <w:basedOn w:val="DefaultParagraphFont"/>
    <w:link w:val="Heading3"/>
    <w:uiPriority w:val="1"/>
    <w:rsid w:val="000F294B"/>
    <w:rPr>
      <w:rFonts w:eastAsiaTheme="majorEastAsia" w:cs="Arial"/>
      <w:b/>
      <w:bCs/>
      <w:kern w:val="32"/>
      <w:sz w:val="24"/>
      <w:szCs w:val="24"/>
      <w:lang w:eastAsia="en-AU"/>
    </w:rPr>
  </w:style>
  <w:style w:type="character" w:customStyle="1" w:styleId="Heading4Char">
    <w:name w:val="Heading 4 Char"/>
    <w:basedOn w:val="DefaultParagraphFont"/>
    <w:link w:val="Heading4"/>
    <w:uiPriority w:val="1"/>
    <w:rsid w:val="002679F4"/>
    <w:rPr>
      <w:rFonts w:ascii="Arial" w:eastAsiaTheme="majorEastAsia" w:hAnsi="Arial" w:cs="Arial"/>
      <w:b/>
      <w:bCs/>
      <w:color w:val="606060"/>
      <w:kern w:val="32"/>
      <w:lang w:eastAsia="en-AU"/>
    </w:rPr>
  </w:style>
  <w:style w:type="paragraph" w:styleId="ListParagraph">
    <w:name w:val="List Paragraph"/>
    <w:aliases w:val="List Paragraph1,Recommendation,List Paragraph11"/>
    <w:basedOn w:val="BlockText"/>
    <w:link w:val="ListParagraphChar"/>
    <w:uiPriority w:val="34"/>
    <w:qFormat/>
    <w:rsid w:val="00273A77"/>
    <w:pPr>
      <w:pBdr>
        <w:top w:val="none" w:sz="0" w:space="0" w:color="auto"/>
        <w:left w:val="none" w:sz="0" w:space="0" w:color="auto"/>
        <w:bottom w:val="none" w:sz="0" w:space="0" w:color="auto"/>
        <w:right w:val="none" w:sz="0" w:space="0" w:color="auto"/>
      </w:pBdr>
      <w:spacing w:after="120"/>
      <w:ind w:left="0" w:right="0"/>
    </w:pPr>
    <w:rPr>
      <w:rFonts w:ascii="Arial" w:hAnsi="Arial" w:cs="Times New Roman"/>
      <w:i w:val="0"/>
      <w:color w:val="auto"/>
    </w:rPr>
  </w:style>
  <w:style w:type="paragraph" w:styleId="BalloonText">
    <w:name w:val="Balloon Text"/>
    <w:basedOn w:val="Normal"/>
    <w:link w:val="BalloonTextChar"/>
    <w:uiPriority w:val="99"/>
    <w:semiHidden/>
    <w:unhideWhenUsed/>
    <w:rsid w:val="00BA46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91"/>
    <w:rPr>
      <w:rFonts w:ascii="Tahoma" w:hAnsi="Tahoma" w:cs="Tahoma"/>
      <w:sz w:val="16"/>
      <w:szCs w:val="16"/>
    </w:rPr>
  </w:style>
  <w:style w:type="table" w:customStyle="1" w:styleId="NTGTable">
    <w:name w:val="NTG Table"/>
    <w:basedOn w:val="TableGrid"/>
    <w:uiPriority w:val="99"/>
    <w:rsid w:val="00BE2D22"/>
    <w:pPr>
      <w:spacing w:after="40"/>
    </w:pPr>
    <w:tblPr>
      <w:tblStyleRowBandSize w:val="1"/>
      <w:tblStyleColBandSize w:val="1"/>
    </w:tblPr>
    <w:trPr>
      <w:cantSplit/>
    </w:trPr>
    <w:tcPr>
      <w:shd w:val="clear" w:color="auto" w:fill="auto"/>
    </w:tcPr>
    <w:tblStylePr w:type="firstRow">
      <w:pPr>
        <w:keepNext/>
        <w:keepLines/>
        <w:widowControl/>
        <w:wordWrap/>
        <w:spacing w:beforeLines="0" w:before="60" w:beforeAutospacing="0" w:afterLines="0" w:after="60" w:afterAutospacing="0" w:line="240" w:lineRule="auto"/>
        <w:ind w:leftChars="0" w:left="0" w:rightChars="0" w:right="0" w:firstLineChars="0" w:firstLine="0"/>
        <w:contextualSpacing w:val="0"/>
        <w:jc w:val="left"/>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numbering" w:customStyle="1" w:styleId="NTGTableList">
    <w:name w:val="NTG Table List"/>
    <w:uiPriority w:val="99"/>
    <w:rsid w:val="00273A77"/>
    <w:pPr>
      <w:numPr>
        <w:numId w:val="3"/>
      </w:numPr>
    </w:pPr>
  </w:style>
  <w:style w:type="numbering" w:customStyle="1" w:styleId="NTGTableNumList">
    <w:name w:val="NTG Table Num List"/>
    <w:uiPriority w:val="99"/>
    <w:rsid w:val="00273A77"/>
    <w:pPr>
      <w:numPr>
        <w:numId w:val="4"/>
      </w:numPr>
    </w:pPr>
  </w:style>
  <w:style w:type="table" w:styleId="TableGrid">
    <w:name w:val="Table Grid"/>
    <w:basedOn w:val="TableNormal"/>
    <w:uiPriority w:val="59"/>
    <w:rsid w:val="00780D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24667C"/>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itle">
    <w:name w:val="Title"/>
    <w:aliases w:val="NTG title"/>
    <w:next w:val="Normal"/>
    <w:link w:val="TitleChar"/>
    <w:uiPriority w:val="10"/>
    <w:rsid w:val="008F5152"/>
    <w:pPr>
      <w:spacing w:after="0"/>
      <w:ind w:left="1134" w:right="1134"/>
    </w:pPr>
    <w:rPr>
      <w:rFonts w:ascii="Arial Black" w:eastAsia="Times New Roman" w:hAnsi="Arial Black" w:cs="Arial"/>
      <w:b/>
      <w:color w:val="CB6015"/>
      <w:sz w:val="48"/>
      <w:szCs w:val="48"/>
      <w:lang w:eastAsia="en-AU"/>
    </w:rPr>
  </w:style>
  <w:style w:type="character" w:customStyle="1" w:styleId="TitleChar">
    <w:name w:val="Title Char"/>
    <w:aliases w:val="NTG title Char"/>
    <w:basedOn w:val="DefaultParagraphFont"/>
    <w:link w:val="Title"/>
    <w:uiPriority w:val="10"/>
    <w:rsid w:val="008F5152"/>
    <w:rPr>
      <w:rFonts w:ascii="Arial Black" w:eastAsia="Times New Roman" w:hAnsi="Arial Black" w:cs="Arial"/>
      <w:b/>
      <w:color w:val="CB6015"/>
      <w:sz w:val="48"/>
      <w:szCs w:val="48"/>
      <w:lang w:eastAsia="en-AU"/>
    </w:rPr>
  </w:style>
  <w:style w:type="character" w:customStyle="1" w:styleId="Heading5Char">
    <w:name w:val="Heading 5 Char"/>
    <w:basedOn w:val="DefaultParagraphFont"/>
    <w:link w:val="Heading5"/>
    <w:uiPriority w:val="9"/>
    <w:rsid w:val="002679F4"/>
    <w:rPr>
      <w:rFonts w:ascii="Arial" w:eastAsiaTheme="majorEastAsia" w:hAnsi="Arial" w:cstheme="majorBidi"/>
      <w:b/>
      <w:color w:val="000000" w:themeColor="text1"/>
      <w:szCs w:val="20"/>
      <w:lang w:eastAsia="en-AU"/>
    </w:rPr>
  </w:style>
  <w:style w:type="character" w:styleId="FollowedHyperlink">
    <w:name w:val="FollowedHyperlink"/>
    <w:basedOn w:val="DefaultParagraphFont"/>
    <w:uiPriority w:val="99"/>
    <w:semiHidden/>
    <w:unhideWhenUsed/>
    <w:rsid w:val="00786219"/>
    <w:rPr>
      <w:color w:val="800080" w:themeColor="followedHyperlink"/>
      <w:u w:val="single"/>
    </w:rPr>
  </w:style>
  <w:style w:type="paragraph" w:customStyle="1" w:styleId="NTGFooter2">
    <w:name w:val="NTG Footer 2"/>
    <w:basedOn w:val="Normal"/>
    <w:uiPriority w:val="2"/>
    <w:rsid w:val="00F23479"/>
    <w:pPr>
      <w:shd w:val="clear" w:color="auto" w:fill="FDE4D0"/>
      <w:tabs>
        <w:tab w:val="right" w:pos="10065"/>
      </w:tabs>
      <w:spacing w:after="0"/>
      <w:ind w:left="-1134" w:right="-1134"/>
    </w:pPr>
    <w:rPr>
      <w:sz w:val="20"/>
    </w:rPr>
  </w:style>
  <w:style w:type="paragraph" w:customStyle="1" w:styleId="NTGfooter2smallspace">
    <w:name w:val="NTG footer 2 small space"/>
    <w:basedOn w:val="Normal"/>
    <w:uiPriority w:val="2"/>
    <w:rsid w:val="003E5ABB"/>
    <w:pPr>
      <w:shd w:val="clear" w:color="auto" w:fill="FDE4D0"/>
      <w:tabs>
        <w:tab w:val="right" w:pos="10065"/>
      </w:tabs>
      <w:spacing w:after="0"/>
      <w:ind w:left="-1134" w:right="-1134"/>
    </w:pPr>
    <w:rPr>
      <w:noProof/>
      <w:sz w:val="4"/>
      <w:szCs w:val="4"/>
    </w:rPr>
  </w:style>
  <w:style w:type="paragraph" w:customStyle="1" w:styleId="NTGfooterdistancespacer">
    <w:name w:val="NTG footer distance spacer"/>
    <w:uiPriority w:val="2"/>
    <w:rsid w:val="003E5ABB"/>
    <w:pPr>
      <w:spacing w:after="0"/>
    </w:pPr>
    <w:rPr>
      <w:rFonts w:eastAsia="Times New Roman" w:cs="Times New Roman"/>
      <w:sz w:val="36"/>
      <w:szCs w:val="4"/>
      <w:lang w:eastAsia="en-AU"/>
    </w:rPr>
  </w:style>
  <w:style w:type="character" w:customStyle="1" w:styleId="Heading6Char">
    <w:name w:val="Heading 6 Char"/>
    <w:basedOn w:val="DefaultParagraphFont"/>
    <w:link w:val="Heading6"/>
    <w:uiPriority w:val="9"/>
    <w:rsid w:val="002679F4"/>
    <w:rPr>
      <w:rFonts w:ascii="Arial" w:eastAsiaTheme="majorEastAsia" w:hAnsi="Arial" w:cstheme="majorBidi"/>
      <w:b/>
      <w:iCs/>
      <w:color w:val="606060"/>
    </w:rPr>
  </w:style>
  <w:style w:type="character" w:styleId="PlaceholderText">
    <w:name w:val="Placeholder Text"/>
    <w:basedOn w:val="DefaultParagraphFont"/>
    <w:uiPriority w:val="99"/>
    <w:semiHidden/>
    <w:rsid w:val="00B86F55"/>
    <w:rPr>
      <w:color w:val="808080"/>
    </w:rPr>
  </w:style>
  <w:style w:type="character" w:customStyle="1" w:styleId="NTGdepartmentofChar">
    <w:name w:val="NTG department of Char"/>
    <w:basedOn w:val="DefaultParagraphFont"/>
    <w:link w:val="NTGdepartmentof"/>
    <w:uiPriority w:val="2"/>
    <w:rsid w:val="007E71D7"/>
    <w:rPr>
      <w:rFonts w:ascii="Arial" w:hAnsi="Arial" w:cs="Lato Regular"/>
      <w:caps/>
      <w:color w:val="231F20"/>
      <w:sz w:val="20"/>
      <w:szCs w:val="24"/>
      <w:u w:color="000000"/>
      <w:lang w:eastAsia="ja-JP"/>
    </w:rPr>
  </w:style>
  <w:style w:type="character" w:customStyle="1" w:styleId="NTGdepartmentnameChar">
    <w:name w:val="NTG department name Char"/>
    <w:basedOn w:val="NTGdepartmentofChar"/>
    <w:link w:val="NTGdepartmentname"/>
    <w:uiPriority w:val="2"/>
    <w:rsid w:val="007E71D7"/>
    <w:rPr>
      <w:rFonts w:ascii="Arial Black" w:hAnsi="Arial Black" w:cs="Lato Black"/>
      <w:caps/>
      <w:color w:val="231F20"/>
      <w:sz w:val="20"/>
      <w:szCs w:val="24"/>
      <w:u w:color="000000"/>
      <w:lang w:eastAsia="ja-JP"/>
    </w:rPr>
  </w:style>
  <w:style w:type="character" w:customStyle="1" w:styleId="Heading7Char">
    <w:name w:val="Heading 7 Char"/>
    <w:basedOn w:val="DefaultParagraphFont"/>
    <w:link w:val="Heading7"/>
    <w:uiPriority w:val="9"/>
    <w:rsid w:val="002679F4"/>
    <w:rPr>
      <w:rFonts w:ascii="Arial" w:eastAsiaTheme="majorEastAsia" w:hAnsi="Arial" w:cstheme="majorBidi"/>
      <w:b/>
      <w:iCs/>
      <w:color w:val="000000" w:themeColor="text1"/>
    </w:rPr>
  </w:style>
  <w:style w:type="character" w:customStyle="1" w:styleId="Heading8Char">
    <w:name w:val="Heading 8 Char"/>
    <w:basedOn w:val="DefaultParagraphFont"/>
    <w:link w:val="Heading8"/>
    <w:uiPriority w:val="9"/>
    <w:rsid w:val="002679F4"/>
    <w:rPr>
      <w:rFonts w:ascii="Arial" w:eastAsiaTheme="majorEastAsia" w:hAnsi="Arial" w:cstheme="majorBidi"/>
      <w:b/>
      <w:color w:val="606060"/>
    </w:rPr>
  </w:style>
  <w:style w:type="character" w:customStyle="1" w:styleId="Heading9Char">
    <w:name w:val="Heading 9 Char"/>
    <w:basedOn w:val="DefaultParagraphFont"/>
    <w:link w:val="Heading9"/>
    <w:uiPriority w:val="9"/>
    <w:rsid w:val="002679F4"/>
    <w:rPr>
      <w:rFonts w:ascii="Arial" w:eastAsiaTheme="majorEastAsia" w:hAnsi="Arial" w:cstheme="majorBidi"/>
      <w:b/>
      <w:iCs/>
      <w:color w:val="000000" w:themeColor="text1"/>
    </w:rPr>
  </w:style>
  <w:style w:type="paragraph" w:styleId="Footer">
    <w:name w:val="footer"/>
    <w:basedOn w:val="Normal"/>
    <w:link w:val="FooterChar"/>
    <w:uiPriority w:val="99"/>
    <w:unhideWhenUsed/>
    <w:rsid w:val="00DA0C62"/>
    <w:pPr>
      <w:tabs>
        <w:tab w:val="center" w:pos="4513"/>
        <w:tab w:val="right" w:pos="9026"/>
      </w:tabs>
      <w:spacing w:after="0"/>
    </w:pPr>
  </w:style>
  <w:style w:type="character" w:customStyle="1" w:styleId="FooterChar">
    <w:name w:val="Footer Char"/>
    <w:basedOn w:val="DefaultParagraphFont"/>
    <w:link w:val="Footer"/>
    <w:uiPriority w:val="99"/>
    <w:rsid w:val="00DA0C62"/>
    <w:rPr>
      <w:rFonts w:ascii="Arial" w:eastAsia="Times New Roman" w:hAnsi="Arial" w:cs="Times New Roman"/>
      <w:szCs w:val="20"/>
      <w:lang w:eastAsia="en-AU"/>
    </w:rPr>
  </w:style>
  <w:style w:type="character" w:styleId="PageNumber">
    <w:name w:val="page number"/>
    <w:basedOn w:val="DefaultParagraphFont"/>
    <w:semiHidden/>
    <w:rsid w:val="00DA0C62"/>
  </w:style>
  <w:style w:type="paragraph" w:customStyle="1" w:styleId="NTGheader1space">
    <w:name w:val="NTG header 1 space"/>
    <w:basedOn w:val="Header"/>
    <w:link w:val="NTGheader1spaceChar"/>
    <w:uiPriority w:val="2"/>
    <w:rsid w:val="00CA3D68"/>
    <w:pPr>
      <w:widowControl w:val="0"/>
      <w:spacing w:before="0" w:after="0"/>
      <w:jc w:val="left"/>
    </w:pPr>
    <w:rPr>
      <w:b w:val="0"/>
    </w:rPr>
  </w:style>
  <w:style w:type="paragraph" w:customStyle="1" w:styleId="NTGfooter1spac">
    <w:name w:val="NTG footer 1 spac"/>
    <w:basedOn w:val="Footer"/>
    <w:link w:val="NTGfooter1spacChar"/>
    <w:uiPriority w:val="2"/>
    <w:rsid w:val="00CA3D68"/>
    <w:rPr>
      <w:sz w:val="4"/>
    </w:rPr>
  </w:style>
  <w:style w:type="character" w:customStyle="1" w:styleId="NTGheader1spaceChar">
    <w:name w:val="NTG header 1 space Char"/>
    <w:basedOn w:val="HeaderChar"/>
    <w:link w:val="NTGheader1space"/>
    <w:uiPriority w:val="2"/>
    <w:rsid w:val="007E71D7"/>
    <w:rPr>
      <w:rFonts w:ascii="Arial" w:eastAsia="Calibri" w:hAnsi="Arial" w:cs="Times New Roman"/>
      <w:b w:val="0"/>
    </w:rPr>
  </w:style>
  <w:style w:type="character" w:customStyle="1" w:styleId="NTGfooter1spacChar">
    <w:name w:val="NTG footer 1 spac Char"/>
    <w:basedOn w:val="FooterChar"/>
    <w:link w:val="NTGfooter1spac"/>
    <w:uiPriority w:val="2"/>
    <w:rsid w:val="007E71D7"/>
    <w:rPr>
      <w:rFonts w:ascii="Arial" w:eastAsia="Times New Roman" w:hAnsi="Arial" w:cs="Times New Roman"/>
      <w:sz w:val="4"/>
      <w:szCs w:val="20"/>
      <w:lang w:eastAsia="en-AU"/>
    </w:rPr>
  </w:style>
  <w:style w:type="paragraph" w:customStyle="1" w:styleId="NTGFooter1text">
    <w:name w:val="NTG Footer 1 text"/>
    <w:basedOn w:val="Normal"/>
    <w:link w:val="NTGFooter1textChar"/>
    <w:rsid w:val="009E36BF"/>
    <w:pPr>
      <w:spacing w:after="0"/>
    </w:pPr>
  </w:style>
  <w:style w:type="character" w:customStyle="1" w:styleId="NTGFooter1textChar">
    <w:name w:val="NTG Footer 1 text Char"/>
    <w:basedOn w:val="DefaultParagraphFont"/>
    <w:link w:val="NTGFooter1text"/>
    <w:rsid w:val="009E36BF"/>
    <w:rPr>
      <w:rFonts w:ascii="Arial" w:eastAsia="Times New Roman" w:hAnsi="Arial" w:cs="Times New Roman"/>
      <w:szCs w:val="20"/>
      <w:lang w:eastAsia="en-AU"/>
    </w:rPr>
  </w:style>
  <w:style w:type="paragraph" w:styleId="ListBullet">
    <w:name w:val="List Bullet"/>
    <w:basedOn w:val="Normal"/>
    <w:uiPriority w:val="99"/>
    <w:rsid w:val="00273A77"/>
    <w:pPr>
      <w:numPr>
        <w:numId w:val="7"/>
      </w:numPr>
      <w:spacing w:after="120"/>
    </w:pPr>
    <w:rPr>
      <w:rFonts w:eastAsia="Calibri"/>
    </w:rPr>
  </w:style>
  <w:style w:type="paragraph" w:styleId="ListBullet2">
    <w:name w:val="List Bullet 2"/>
    <w:basedOn w:val="Normal"/>
    <w:uiPriority w:val="99"/>
    <w:rsid w:val="00273A77"/>
    <w:pPr>
      <w:numPr>
        <w:ilvl w:val="1"/>
        <w:numId w:val="7"/>
      </w:numPr>
      <w:spacing w:after="120"/>
    </w:pPr>
    <w:rPr>
      <w:rFonts w:eastAsia="Calibri"/>
    </w:rPr>
  </w:style>
  <w:style w:type="paragraph" w:styleId="ListBullet3">
    <w:name w:val="List Bullet 3"/>
    <w:basedOn w:val="Normal"/>
    <w:uiPriority w:val="99"/>
    <w:rsid w:val="00273A77"/>
    <w:pPr>
      <w:numPr>
        <w:ilvl w:val="2"/>
        <w:numId w:val="7"/>
      </w:numPr>
      <w:spacing w:after="120"/>
    </w:pPr>
    <w:rPr>
      <w:rFonts w:eastAsia="Calibri"/>
    </w:rPr>
  </w:style>
  <w:style w:type="paragraph" w:styleId="ListBullet4">
    <w:name w:val="List Bullet 4"/>
    <w:basedOn w:val="Normal"/>
    <w:uiPriority w:val="99"/>
    <w:rsid w:val="00273A77"/>
    <w:pPr>
      <w:numPr>
        <w:ilvl w:val="3"/>
        <w:numId w:val="7"/>
      </w:numPr>
      <w:spacing w:after="120"/>
    </w:pPr>
    <w:rPr>
      <w:rFonts w:eastAsia="Calibri"/>
    </w:rPr>
  </w:style>
  <w:style w:type="paragraph" w:styleId="ListBullet5">
    <w:name w:val="List Bullet 5"/>
    <w:basedOn w:val="Normal"/>
    <w:uiPriority w:val="99"/>
    <w:rsid w:val="00273A77"/>
    <w:pPr>
      <w:numPr>
        <w:ilvl w:val="4"/>
        <w:numId w:val="7"/>
      </w:numPr>
    </w:pPr>
    <w:rPr>
      <w:rFonts w:eastAsia="Calibri"/>
    </w:rPr>
  </w:style>
  <w:style w:type="paragraph" w:styleId="ListNumber">
    <w:name w:val="List Number"/>
    <w:basedOn w:val="Normal"/>
    <w:uiPriority w:val="99"/>
    <w:qFormat/>
    <w:rsid w:val="00273A77"/>
    <w:pPr>
      <w:numPr>
        <w:numId w:val="5"/>
      </w:numPr>
      <w:spacing w:after="120"/>
    </w:pPr>
    <w:rPr>
      <w:rFonts w:eastAsia="Calibri"/>
    </w:rPr>
  </w:style>
  <w:style w:type="paragraph" w:styleId="ListNumber2">
    <w:name w:val="List Number 2"/>
    <w:basedOn w:val="Normal"/>
    <w:uiPriority w:val="99"/>
    <w:rsid w:val="00273A77"/>
    <w:pPr>
      <w:numPr>
        <w:ilvl w:val="1"/>
        <w:numId w:val="5"/>
      </w:numPr>
      <w:spacing w:after="120"/>
    </w:pPr>
    <w:rPr>
      <w:rFonts w:eastAsia="Calibri"/>
    </w:rPr>
  </w:style>
  <w:style w:type="paragraph" w:styleId="ListNumber3">
    <w:name w:val="List Number 3"/>
    <w:basedOn w:val="Normal"/>
    <w:uiPriority w:val="99"/>
    <w:rsid w:val="00273A77"/>
    <w:pPr>
      <w:numPr>
        <w:ilvl w:val="2"/>
        <w:numId w:val="5"/>
      </w:numPr>
      <w:spacing w:after="120"/>
    </w:pPr>
    <w:rPr>
      <w:rFonts w:eastAsia="Calibri"/>
    </w:rPr>
  </w:style>
  <w:style w:type="paragraph" w:styleId="ListNumber4">
    <w:name w:val="List Number 4"/>
    <w:basedOn w:val="Normal"/>
    <w:uiPriority w:val="99"/>
    <w:rsid w:val="00273A77"/>
    <w:pPr>
      <w:numPr>
        <w:ilvl w:val="3"/>
        <w:numId w:val="5"/>
      </w:numPr>
      <w:spacing w:after="120"/>
    </w:pPr>
    <w:rPr>
      <w:rFonts w:eastAsia="Calibri"/>
    </w:rPr>
  </w:style>
  <w:style w:type="paragraph" w:styleId="ListNumber5">
    <w:name w:val="List Number 5"/>
    <w:basedOn w:val="Normal"/>
    <w:uiPriority w:val="99"/>
    <w:rsid w:val="00273A77"/>
    <w:pPr>
      <w:numPr>
        <w:ilvl w:val="4"/>
        <w:numId w:val="5"/>
      </w:numPr>
      <w:spacing w:after="120"/>
    </w:pPr>
    <w:rPr>
      <w:rFonts w:eastAsia="Calibri"/>
    </w:rPr>
  </w:style>
  <w:style w:type="numbering" w:customStyle="1" w:styleId="NTGStandardNumList">
    <w:name w:val="NTG Standard Num List"/>
    <w:uiPriority w:val="99"/>
    <w:rsid w:val="00273A77"/>
    <w:pPr>
      <w:numPr>
        <w:numId w:val="2"/>
      </w:numPr>
    </w:pPr>
  </w:style>
  <w:style w:type="character" w:styleId="Hyperlink">
    <w:name w:val="Hyperlink"/>
    <w:basedOn w:val="DefaultParagraphFont"/>
    <w:uiPriority w:val="34"/>
    <w:unhideWhenUsed/>
    <w:rsid w:val="00B210DF"/>
    <w:rPr>
      <w:color w:val="0000FF" w:themeColor="hyperlink"/>
      <w:u w:val="single"/>
    </w:rPr>
  </w:style>
  <w:style w:type="paragraph" w:styleId="BlockText">
    <w:name w:val="Block Text"/>
    <w:basedOn w:val="Normal"/>
    <w:uiPriority w:val="99"/>
    <w:semiHidden/>
    <w:unhideWhenUsed/>
    <w:rsid w:val="00273A7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customStyle="1" w:styleId="NTGTableBulletList1">
    <w:name w:val="NTG Table Bullet List 1"/>
    <w:semiHidden/>
    <w:qFormat/>
    <w:rsid w:val="00273A77"/>
    <w:pPr>
      <w:numPr>
        <w:numId w:val="8"/>
      </w:numPr>
      <w:spacing w:after="20"/>
    </w:pPr>
    <w:rPr>
      <w:rFonts w:eastAsia="Calibri" w:cs="Times New Roman"/>
    </w:rPr>
  </w:style>
  <w:style w:type="paragraph" w:customStyle="1" w:styleId="NTGTableBulletList2">
    <w:name w:val="NTG Table Bullet List 2"/>
    <w:basedOn w:val="NTGTableBulletList1"/>
    <w:semiHidden/>
    <w:qFormat/>
    <w:rsid w:val="00273A77"/>
    <w:pPr>
      <w:numPr>
        <w:ilvl w:val="1"/>
      </w:numPr>
    </w:pPr>
  </w:style>
  <w:style w:type="paragraph" w:customStyle="1" w:styleId="NTGTableBulletList3">
    <w:name w:val="NTG Table Bullet List 3"/>
    <w:basedOn w:val="NTGTableBulletList2"/>
    <w:semiHidden/>
    <w:qFormat/>
    <w:rsid w:val="00273A77"/>
    <w:pPr>
      <w:numPr>
        <w:ilvl w:val="2"/>
      </w:numPr>
    </w:pPr>
  </w:style>
  <w:style w:type="paragraph" w:customStyle="1" w:styleId="NTGTableBulletList4">
    <w:name w:val="NTG Table Bullet List 4"/>
    <w:basedOn w:val="NTGTableBulletList3"/>
    <w:semiHidden/>
    <w:qFormat/>
    <w:rsid w:val="00273A77"/>
    <w:pPr>
      <w:numPr>
        <w:ilvl w:val="3"/>
      </w:numPr>
    </w:pPr>
  </w:style>
  <w:style w:type="paragraph" w:customStyle="1" w:styleId="NTGTableBulletList5">
    <w:name w:val="NTG Table Bullet List 5"/>
    <w:basedOn w:val="NTGTableBulletList4"/>
    <w:semiHidden/>
    <w:qFormat/>
    <w:rsid w:val="00273A77"/>
    <w:pPr>
      <w:numPr>
        <w:ilvl w:val="4"/>
      </w:numPr>
    </w:pPr>
  </w:style>
  <w:style w:type="paragraph" w:customStyle="1" w:styleId="NTGTableBulletList6">
    <w:name w:val="NTG Table Bullet List 6"/>
    <w:basedOn w:val="NTGTableBulletList5"/>
    <w:semiHidden/>
    <w:qFormat/>
    <w:rsid w:val="00273A77"/>
    <w:pPr>
      <w:numPr>
        <w:ilvl w:val="5"/>
      </w:numPr>
    </w:pPr>
  </w:style>
  <w:style w:type="paragraph" w:customStyle="1" w:styleId="NTGTableBulletList7">
    <w:name w:val="NTG Table Bullet List 7"/>
    <w:basedOn w:val="NTGTableBulletList6"/>
    <w:semiHidden/>
    <w:qFormat/>
    <w:rsid w:val="00273A77"/>
    <w:pPr>
      <w:numPr>
        <w:ilvl w:val="6"/>
      </w:numPr>
    </w:pPr>
  </w:style>
  <w:style w:type="paragraph" w:customStyle="1" w:styleId="NTGTableBulletList8">
    <w:name w:val="NTG Table Bullet List 8"/>
    <w:basedOn w:val="NTGTableBulletList7"/>
    <w:semiHidden/>
    <w:qFormat/>
    <w:rsid w:val="00273A77"/>
    <w:pPr>
      <w:numPr>
        <w:ilvl w:val="7"/>
      </w:numPr>
    </w:pPr>
  </w:style>
  <w:style w:type="paragraph" w:customStyle="1" w:styleId="NTGTableBulletList9">
    <w:name w:val="NTG Table Bullet List 9"/>
    <w:basedOn w:val="NTGTableBulletList8"/>
    <w:semiHidden/>
    <w:qFormat/>
    <w:rsid w:val="00273A77"/>
    <w:pPr>
      <w:numPr>
        <w:ilvl w:val="8"/>
      </w:numPr>
    </w:pPr>
  </w:style>
  <w:style w:type="paragraph" w:customStyle="1" w:styleId="NTGTableNumList1">
    <w:name w:val="NTG Table Num List 1"/>
    <w:semiHidden/>
    <w:qFormat/>
    <w:rsid w:val="00273A77"/>
    <w:pPr>
      <w:numPr>
        <w:numId w:val="6"/>
      </w:numPr>
      <w:spacing w:after="20"/>
    </w:pPr>
    <w:rPr>
      <w:rFonts w:eastAsia="Calibri" w:cs="Times New Roman"/>
    </w:rPr>
  </w:style>
  <w:style w:type="paragraph" w:customStyle="1" w:styleId="NTGTableNumList2">
    <w:name w:val="NTG Table Num List 2"/>
    <w:basedOn w:val="NTGTableNumList1"/>
    <w:semiHidden/>
    <w:qFormat/>
    <w:rsid w:val="00273A77"/>
    <w:pPr>
      <w:numPr>
        <w:ilvl w:val="1"/>
      </w:numPr>
    </w:pPr>
  </w:style>
  <w:style w:type="paragraph" w:customStyle="1" w:styleId="NTGTableNumList3">
    <w:name w:val="NTG Table Num List 3"/>
    <w:basedOn w:val="NTGTableNumList2"/>
    <w:semiHidden/>
    <w:qFormat/>
    <w:rsid w:val="00273A77"/>
    <w:pPr>
      <w:numPr>
        <w:ilvl w:val="2"/>
      </w:numPr>
    </w:pPr>
  </w:style>
  <w:style w:type="paragraph" w:customStyle="1" w:styleId="NTGTableNumList4">
    <w:name w:val="NTG Table Num List 4"/>
    <w:basedOn w:val="NTGTableNumList3"/>
    <w:semiHidden/>
    <w:qFormat/>
    <w:rsid w:val="00273A77"/>
    <w:pPr>
      <w:numPr>
        <w:ilvl w:val="3"/>
      </w:numPr>
    </w:pPr>
  </w:style>
  <w:style w:type="paragraph" w:customStyle="1" w:styleId="NTGTableNumList5">
    <w:name w:val="NTG Table Num List 5"/>
    <w:basedOn w:val="NTGTableNumList4"/>
    <w:semiHidden/>
    <w:qFormat/>
    <w:rsid w:val="00273A77"/>
    <w:pPr>
      <w:numPr>
        <w:ilvl w:val="4"/>
      </w:numPr>
    </w:pPr>
  </w:style>
  <w:style w:type="paragraph" w:customStyle="1" w:styleId="NTGTableNumList6">
    <w:name w:val="NTG Table Num List 6"/>
    <w:basedOn w:val="NTGTableNumList5"/>
    <w:semiHidden/>
    <w:qFormat/>
    <w:rsid w:val="00273A77"/>
    <w:pPr>
      <w:numPr>
        <w:ilvl w:val="5"/>
      </w:numPr>
    </w:pPr>
  </w:style>
  <w:style w:type="paragraph" w:customStyle="1" w:styleId="NTGTableNumList7">
    <w:name w:val="NTG Table Num List 7"/>
    <w:basedOn w:val="NTGTableNumList6"/>
    <w:semiHidden/>
    <w:qFormat/>
    <w:rsid w:val="00273A77"/>
    <w:pPr>
      <w:numPr>
        <w:ilvl w:val="6"/>
      </w:numPr>
    </w:pPr>
  </w:style>
  <w:style w:type="paragraph" w:customStyle="1" w:styleId="NTGTableNumList8">
    <w:name w:val="NTG Table Num List 8"/>
    <w:basedOn w:val="NTGTableNumList7"/>
    <w:semiHidden/>
    <w:qFormat/>
    <w:rsid w:val="00273A77"/>
    <w:pPr>
      <w:numPr>
        <w:ilvl w:val="7"/>
      </w:numPr>
    </w:pPr>
  </w:style>
  <w:style w:type="paragraph" w:customStyle="1" w:styleId="NTGTableNumList9">
    <w:name w:val="NTG Table Num List 9"/>
    <w:basedOn w:val="NTGTableNumList8"/>
    <w:semiHidden/>
    <w:qFormat/>
    <w:rsid w:val="00273A77"/>
    <w:pPr>
      <w:numPr>
        <w:ilvl w:val="8"/>
      </w:numPr>
    </w:pPr>
  </w:style>
  <w:style w:type="paragraph" w:styleId="BodyText">
    <w:name w:val="Body Text"/>
    <w:basedOn w:val="Normal"/>
    <w:link w:val="BodyTextChar"/>
    <w:uiPriority w:val="1"/>
    <w:qFormat/>
    <w:rsid w:val="00332473"/>
    <w:pPr>
      <w:widowControl w:val="0"/>
      <w:spacing w:after="0"/>
      <w:ind w:left="1132"/>
    </w:pPr>
    <w:rPr>
      <w:rFonts w:eastAsia="Arial"/>
      <w:lang w:val="en-US"/>
    </w:rPr>
  </w:style>
  <w:style w:type="character" w:customStyle="1" w:styleId="BodyTextChar">
    <w:name w:val="Body Text Char"/>
    <w:basedOn w:val="DefaultParagraphFont"/>
    <w:link w:val="BodyText"/>
    <w:uiPriority w:val="1"/>
    <w:rsid w:val="00332473"/>
    <w:rPr>
      <w:rFonts w:eastAsia="Arial"/>
      <w:lang w:val="en-US"/>
    </w:rPr>
  </w:style>
  <w:style w:type="table" w:styleId="TableGridLight">
    <w:name w:val="Grid Table Light"/>
    <w:basedOn w:val="TableNormal"/>
    <w:uiPriority w:val="40"/>
    <w:rsid w:val="005213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0C5726"/>
    <w:pPr>
      <w:widowControl w:val="0"/>
      <w:spacing w:after="0"/>
    </w:pPr>
    <w:rPr>
      <w:rFonts w:asciiTheme="minorHAnsi" w:hAnsiTheme="minorHAnsi"/>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270958"/>
    <w:rPr>
      <w:rFonts w:eastAsiaTheme="minorEastAsia" w:cs="Times New Roman"/>
      <w:iCs/>
    </w:rPr>
  </w:style>
  <w:style w:type="paragraph" w:customStyle="1" w:styleId="bullet">
    <w:name w:val="bullet"/>
    <w:basedOn w:val="ListParagraph"/>
    <w:link w:val="bulletChar"/>
    <w:qFormat/>
    <w:rsid w:val="000171B2"/>
    <w:pPr>
      <w:numPr>
        <w:numId w:val="17"/>
      </w:numPr>
      <w:spacing w:after="200"/>
      <w:ind w:left="714" w:hanging="357"/>
    </w:pPr>
  </w:style>
  <w:style w:type="character" w:customStyle="1" w:styleId="bulletChar">
    <w:name w:val="bullet Char"/>
    <w:basedOn w:val="ListParagraphChar"/>
    <w:link w:val="bullet"/>
    <w:rsid w:val="000171B2"/>
    <w:rPr>
      <w:rFonts w:eastAsiaTheme="minorEastAsia" w:cs="Times New Roman"/>
      <w:iCs/>
    </w:rPr>
  </w:style>
  <w:style w:type="paragraph" w:styleId="FootnoteText">
    <w:name w:val="footnote text"/>
    <w:basedOn w:val="Normal"/>
    <w:link w:val="FootnoteTextChar"/>
    <w:uiPriority w:val="99"/>
    <w:semiHidden/>
    <w:unhideWhenUsed/>
    <w:rsid w:val="000B527C"/>
    <w:pPr>
      <w:spacing w:after="0"/>
    </w:pPr>
    <w:rPr>
      <w:sz w:val="20"/>
      <w:szCs w:val="20"/>
    </w:rPr>
  </w:style>
  <w:style w:type="character" w:customStyle="1" w:styleId="FootnoteTextChar">
    <w:name w:val="Footnote Text Char"/>
    <w:basedOn w:val="DefaultParagraphFont"/>
    <w:link w:val="FootnoteText"/>
    <w:uiPriority w:val="99"/>
    <w:semiHidden/>
    <w:rsid w:val="000B527C"/>
    <w:rPr>
      <w:sz w:val="20"/>
      <w:szCs w:val="20"/>
    </w:rPr>
  </w:style>
  <w:style w:type="character" w:styleId="FootnoteReference">
    <w:name w:val="footnote reference"/>
    <w:basedOn w:val="DefaultParagraphFont"/>
    <w:uiPriority w:val="99"/>
    <w:semiHidden/>
    <w:unhideWhenUsed/>
    <w:rsid w:val="000B52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52075">
      <w:bodyDiv w:val="1"/>
      <w:marLeft w:val="0"/>
      <w:marRight w:val="0"/>
      <w:marTop w:val="0"/>
      <w:marBottom w:val="0"/>
      <w:divBdr>
        <w:top w:val="none" w:sz="0" w:space="0" w:color="auto"/>
        <w:left w:val="none" w:sz="0" w:space="0" w:color="auto"/>
        <w:bottom w:val="none" w:sz="0" w:space="0" w:color="auto"/>
        <w:right w:val="none" w:sz="0" w:space="0" w:color="auto"/>
      </w:divBdr>
    </w:div>
    <w:div w:id="20786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4h\AppData\Local\Temp\Temp1_fact-sheet-b-without-address-template_12.zip\fact-sheet-b-without-address-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53E7E39CCB438D92E6E08A01A221A4"/>
        <w:category>
          <w:name w:val="General"/>
          <w:gallery w:val="placeholder"/>
        </w:category>
        <w:types>
          <w:type w:val="bbPlcHdr"/>
        </w:types>
        <w:behaviors>
          <w:behavior w:val="content"/>
        </w:behaviors>
        <w:guid w:val="{837F1B55-2FD7-4EC1-A864-4754957F5176}"/>
      </w:docPartPr>
      <w:docPartBody>
        <w:p w:rsidR="00287127" w:rsidRDefault="00287127">
          <w:pPr>
            <w:pStyle w:val="FC53E7E39CCB438D92E6E08A01A221A4"/>
          </w:pPr>
          <w:r w:rsidRPr="0024594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7"/>
    <w:rsid w:val="00287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53E7E39CCB438D92E6E08A01A221A4">
    <w:name w:val="FC53E7E39CCB438D92E6E08A01A22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0225A-8DCF-4E70-856F-B4FC5CD7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fact-sheet-b-without-address-template.dotm</Template>
  <TotalTime>12</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Fact sheet 5: Roles and responsibilities</vt:lpstr>
    </vt:vector>
  </TitlesOfParts>
  <Company>NTG</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5: Roles and responsibilities</dc:title>
  <dc:creator>Department of Environment and Natural Resources</dc:creator>
  <cp:lastModifiedBy>Fiona Easton</cp:lastModifiedBy>
  <cp:revision>3</cp:revision>
  <cp:lastPrinted>2020-05-20T01:54:00Z</cp:lastPrinted>
  <dcterms:created xsi:type="dcterms:W3CDTF">2020-05-12T06:49:00Z</dcterms:created>
  <dcterms:modified xsi:type="dcterms:W3CDTF">2020-05-20T01:54:00Z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&lt;DD Month YYYY&gt;</vt:lpwstr>
  </property>
  <property fmtid="{D5CDD505-2E9C-101B-9397-08002B2CF9AE}" pid="3" name="VersionNo">
    <vt:lpwstr>&lt;, Version x.x optional&gt;</vt:lpwstr>
  </property>
  <property fmtid="{D5CDD505-2E9C-101B-9397-08002B2CF9AE}" pid="4" name="DocumentAuthor">
    <vt:lpwstr>&lt;Firstname&gt; &lt;Lastname&gt;</vt:lpwstr>
  </property>
  <property fmtid="{D5CDD505-2E9C-101B-9397-08002B2CF9AE}" pid="5" name="DepartmentOf">
    <vt:lpwstr>Department of</vt:lpwstr>
  </property>
  <property fmtid="{D5CDD505-2E9C-101B-9397-08002B2CF9AE}" pid="6" name="DepartmentName">
    <vt:lpwstr>&lt;Department Name&gt;</vt:lpwstr>
  </property>
  <property fmtid="{D5CDD505-2E9C-101B-9397-08002B2CF9AE}" pid="7" name="GPO">
    <vt:lpwstr>&lt;xxxx&gt;</vt:lpwstr>
  </property>
  <property fmtid="{D5CDD505-2E9C-101B-9397-08002B2CF9AE}" pid="8" name="Suburb">
    <vt:lpwstr>Darwin</vt:lpwstr>
  </property>
  <property fmtid="{D5CDD505-2E9C-101B-9397-08002B2CF9AE}" pid="9" name="Postcode">
    <vt:lpwstr>0801</vt:lpwstr>
  </property>
  <property fmtid="{D5CDD505-2E9C-101B-9397-08002B2CF9AE}" pid="10" name="Telephone">
    <vt:lpwstr>&lt;08 89xx xxxx</vt:lpwstr>
  </property>
  <property fmtid="{D5CDD505-2E9C-101B-9397-08002B2CF9AE}" pid="11" name="Facsimile">
    <vt:lpwstr>&lt;08 89xx xxxx</vt:lpwstr>
  </property>
  <property fmtid="{D5CDD505-2E9C-101B-9397-08002B2CF9AE}" pid="12" name="Email">
    <vt:lpwstr>&lt;xxxxxxx@nt.gov.au&gt;</vt:lpwstr>
  </property>
  <property fmtid="{D5CDD505-2E9C-101B-9397-08002B2CF9AE}" pid="13" name="Web">
    <vt:lpwstr>&lt;www.xxxxxxxxxx.nt.gov.au&gt;</vt:lpwstr>
  </property>
</Properties>
</file>