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4D0"/>
        <w:tblLayout w:type="fixed"/>
        <w:tblLook w:val="04A0" w:firstRow="1" w:lastRow="0" w:firstColumn="1" w:lastColumn="0" w:noHBand="0" w:noVBand="1"/>
      </w:tblPr>
      <w:tblGrid>
        <w:gridCol w:w="11907"/>
      </w:tblGrid>
      <w:tr w:rsidR="00230D72" w:rsidRPr="007217AB" w:rsidTr="007512AA">
        <w:trPr>
          <w:cnfStyle w:val="100000000000" w:firstRow="1" w:lastRow="0" w:firstColumn="0" w:lastColumn="0" w:oddVBand="0" w:evenVBand="0" w:oddHBand="0" w:evenHBand="0" w:firstRowFirstColumn="0" w:firstRowLastColumn="0" w:lastRowFirstColumn="0" w:lastRowLastColumn="0"/>
          <w:trHeight w:val="1134"/>
        </w:trPr>
        <w:sdt>
          <w:sdtPr>
            <w:rPr>
              <w:sz w:val="44"/>
            </w:rPr>
            <w:alias w:val="Title"/>
            <w:tag w:val=""/>
            <w:id w:val="1563207728"/>
            <w:placeholder>
              <w:docPart w:val="FC53E7E39CCB438D92E6E08A01A221A4"/>
            </w:placeholder>
            <w:dataBinding w:prefixMappings="xmlns:ns0='http://purl.org/dc/elements/1.1/' xmlns:ns1='http://schemas.openxmlformats.org/package/2006/metadata/core-properties' " w:xpath="/ns1:coreProperties[1]/ns0:title[1]" w:storeItemID="{6C3C8BC8-F283-45AE-878A-BAB7291924A1}"/>
            <w:text/>
          </w:sdtPr>
          <w:sdtEndPr/>
          <w:sdtContent>
            <w:tc>
              <w:tcPr>
                <w:cnfStyle w:val="001000000100" w:firstRow="0" w:lastRow="0" w:firstColumn="1" w:lastColumn="0" w:oddVBand="0" w:evenVBand="0" w:oddHBand="0" w:evenHBand="0" w:firstRowFirstColumn="1" w:firstRowLastColumn="0" w:lastRowFirstColumn="0" w:lastRowLastColumn="0"/>
                <w:tcW w:w="119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DE4D0"/>
                <w:tcMar>
                  <w:left w:w="0" w:type="dxa"/>
                  <w:right w:w="0" w:type="dxa"/>
                </w:tcMar>
              </w:tcPr>
              <w:p w:rsidR="00230D72" w:rsidRPr="007217AB" w:rsidRDefault="00980344" w:rsidP="0028699B">
                <w:pPr>
                  <w:pStyle w:val="Title"/>
                  <w:ind w:right="846"/>
                </w:pPr>
                <w:r w:rsidRPr="006C2506">
                  <w:rPr>
                    <w:sz w:val="44"/>
                  </w:rPr>
                  <w:t xml:space="preserve">Fact sheet </w:t>
                </w:r>
                <w:r w:rsidR="00954B0B">
                  <w:rPr>
                    <w:sz w:val="44"/>
                  </w:rPr>
                  <w:t>2</w:t>
                </w:r>
                <w:r w:rsidR="0028699B">
                  <w:rPr>
                    <w:sz w:val="44"/>
                  </w:rPr>
                  <w:t>2</w:t>
                </w:r>
                <w:r w:rsidR="00954B0B">
                  <w:rPr>
                    <w:sz w:val="44"/>
                  </w:rPr>
                  <w:t xml:space="preserve">: </w:t>
                </w:r>
                <w:r w:rsidR="0028699B">
                  <w:rPr>
                    <w:sz w:val="44"/>
                  </w:rPr>
                  <w:t xml:space="preserve">Commercial fishing </w:t>
                </w:r>
                <w:r w:rsidR="00954B0B">
                  <w:rPr>
                    <w:sz w:val="44"/>
                  </w:rPr>
                  <w:t>industry</w:t>
                </w:r>
              </w:p>
            </w:tc>
          </w:sdtContent>
        </w:sdt>
      </w:tr>
    </w:tbl>
    <w:p w:rsidR="00332473" w:rsidRDefault="00332473" w:rsidP="009068DE">
      <w:bookmarkStart w:id="0" w:name="_GoBack"/>
      <w:bookmarkEnd w:id="0"/>
    </w:p>
    <w:tbl>
      <w:tblPr>
        <w:tblStyle w:val="TableGridLigh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9D9D9" w:themeFill="background1" w:themeFillShade="D9"/>
        <w:tblLook w:val="04A0" w:firstRow="1" w:lastRow="0" w:firstColumn="1" w:lastColumn="0" w:noHBand="0" w:noVBand="1"/>
      </w:tblPr>
      <w:tblGrid>
        <w:gridCol w:w="9628"/>
      </w:tblGrid>
      <w:tr w:rsidR="00521378" w:rsidTr="007512AA">
        <w:trPr>
          <w:tblHeader/>
        </w:trPr>
        <w:tc>
          <w:tcPr>
            <w:tcW w:w="9628" w:type="dxa"/>
            <w:shd w:val="clear" w:color="auto" w:fill="D9D9D9" w:themeFill="background1" w:themeFillShade="D9"/>
          </w:tcPr>
          <w:p w:rsidR="00521378" w:rsidRDefault="00521378" w:rsidP="00521378">
            <w:pPr>
              <w:spacing w:before="80" w:after="80"/>
              <w:rPr>
                <w:rFonts w:cs="Arial"/>
                <w:b/>
                <w:color w:val="000000" w:themeColor="text1"/>
                <w:sz w:val="36"/>
              </w:rPr>
            </w:pPr>
            <w:r w:rsidRPr="00332473">
              <w:rPr>
                <w:rFonts w:cs="Arial"/>
                <w:b/>
                <w:color w:val="000000" w:themeColor="text1"/>
                <w:sz w:val="36"/>
              </w:rPr>
              <w:t>Caution: Archived content</w:t>
            </w:r>
          </w:p>
          <w:p w:rsidR="007512AA" w:rsidRDefault="00521378" w:rsidP="00521378">
            <w:pPr>
              <w:spacing w:after="80"/>
            </w:pPr>
            <w:r w:rsidRPr="00521378">
              <w:t xml:space="preserve">This content was created to serve a specific purpose at a particular period/time. </w:t>
            </w:r>
          </w:p>
          <w:p w:rsidR="00521378" w:rsidRDefault="00521378" w:rsidP="00521378">
            <w:pPr>
              <w:spacing w:after="80"/>
            </w:pPr>
            <w:r w:rsidRPr="00521378">
              <w:t>It may contain references to policy positions, approaches, documents or other information that has been superseded.</w:t>
            </w:r>
          </w:p>
        </w:tc>
      </w:tr>
    </w:tbl>
    <w:p w:rsidR="0028699B" w:rsidRPr="00E5523D" w:rsidRDefault="0028699B" w:rsidP="0028699B">
      <w:pPr>
        <w:pStyle w:val="Subheading"/>
      </w:pPr>
      <w:bookmarkStart w:id="1" w:name="Tiered_environmental_impact_assessment"/>
      <w:bookmarkStart w:id="2" w:name="Proposed_timeframes_in_the_draft_environ"/>
      <w:bookmarkStart w:id="3" w:name="The_environmental_impact_assessment_syst"/>
      <w:bookmarkEnd w:id="1"/>
      <w:bookmarkEnd w:id="2"/>
      <w:bookmarkEnd w:id="3"/>
      <w:r w:rsidRPr="00E5523D">
        <w:t>What environmental impact assessment and approval reforms mean for you</w:t>
      </w:r>
    </w:p>
    <w:p w:rsidR="0028699B" w:rsidRPr="00E5523D" w:rsidRDefault="0028699B" w:rsidP="0028699B">
      <w:pPr>
        <w:pStyle w:val="Heading1"/>
      </w:pPr>
      <w:r w:rsidRPr="00E5523D">
        <w:t>Background</w:t>
      </w:r>
    </w:p>
    <w:p w:rsidR="0028699B" w:rsidRDefault="0028699B" w:rsidP="0028699B">
      <w:pPr>
        <w:tabs>
          <w:tab w:val="left" w:pos="5427"/>
        </w:tabs>
        <w:spacing w:after="160"/>
      </w:pPr>
      <w:r>
        <w:t>The Northern Territory (the Territory) is reviewing and reforming the current environmental regulatory system. Reforms are critical to achieving a robust regulatory system that the community will trust while encouraging industry investment and economic growth.</w:t>
      </w:r>
    </w:p>
    <w:p w:rsidR="0028699B" w:rsidRDefault="0028699B" w:rsidP="0028699B">
      <w:pPr>
        <w:tabs>
          <w:tab w:val="left" w:pos="5427"/>
        </w:tabs>
        <w:spacing w:after="160"/>
      </w:pPr>
      <w:r>
        <w:t>The Environment Protection Bill </w:t>
      </w:r>
      <w:r w:rsidRPr="006F6495">
        <w:t xml:space="preserve">2019 </w:t>
      </w:r>
      <w:r>
        <w:t xml:space="preserve">(the Bill) </w:t>
      </w:r>
      <w:r w:rsidRPr="006F6495">
        <w:t>and its supporting Environment Protection Regulations will introduce considerable improvements to the Territory’s environmental impact assessment system</w:t>
      </w:r>
      <w:r>
        <w:t>. This will result</w:t>
      </w:r>
      <w:r w:rsidRPr="006F6495">
        <w:t xml:space="preserve"> in a process that is contemporary, fit for purpose, responsive to the Territory’s circumstances, and in keeping with the principles of ecologically sustainable development.</w:t>
      </w:r>
    </w:p>
    <w:p w:rsidR="0028699B" w:rsidRPr="00FA427C" w:rsidRDefault="0028699B" w:rsidP="0028699B">
      <w:pPr>
        <w:pStyle w:val="Heading1"/>
      </w:pPr>
      <w:r w:rsidRPr="00FA427C">
        <w:t>What’s happening?</w:t>
      </w:r>
    </w:p>
    <w:p w:rsidR="0028699B" w:rsidRDefault="0028699B" w:rsidP="0028699B">
      <w:pPr>
        <w:spacing w:after="160"/>
        <w:rPr>
          <w:lang w:eastAsia="en-AU"/>
        </w:rPr>
      </w:pPr>
      <w:r>
        <w:rPr>
          <w:lang w:eastAsia="en-AU"/>
        </w:rPr>
        <w:t>The Bill is focused on the environmental impact assessment of proposed projects. The basis for requiring to be referred for assessment is the project’s potential for significant impact on the environment. This is also the existing approach for determining if environmental impact assessment is required.</w:t>
      </w:r>
    </w:p>
    <w:p w:rsidR="0028699B" w:rsidRDefault="0028699B" w:rsidP="0028699B">
      <w:pPr>
        <w:spacing w:after="160"/>
        <w:rPr>
          <w:lang w:eastAsia="en-AU"/>
        </w:rPr>
      </w:pPr>
      <w:r>
        <w:rPr>
          <w:lang w:eastAsia="en-AU"/>
        </w:rPr>
        <w:t>The Minister for Environment and Natural Resources (the Minister) may declare environmental objectives representing environmentally valuable matters for the Territory, following a public consultation process. Once environmental objectives are declared they will assist a proponent to understand if their project requires a referral knowing that these are the matters the Northern Territory Environment Protection Authority (NT EPA) will refer to when it makes a decision. The NT EPA Environmental Factors and Objectives will continue to be used until the Minister declares objectives under the new environment protection laws.</w:t>
      </w:r>
    </w:p>
    <w:p w:rsidR="0028699B" w:rsidRDefault="0028699B" w:rsidP="0028699B">
      <w:pPr>
        <w:spacing w:after="160"/>
        <w:rPr>
          <w:lang w:eastAsia="en-AU"/>
        </w:rPr>
      </w:pPr>
      <w:r>
        <w:rPr>
          <w:lang w:eastAsia="en-AU"/>
        </w:rPr>
        <w:t>The Minister will also be able to declare activity-based and location-based referral triggers following a public consultation process. A proposed project that meets a trigger would need to be referred to determine if it actually has potential for significant impact.</w:t>
      </w:r>
    </w:p>
    <w:p w:rsidR="0028699B" w:rsidRDefault="0028699B" w:rsidP="0028699B">
      <w:pPr>
        <w:spacing w:after="160"/>
        <w:rPr>
          <w:lang w:eastAsia="en-AU"/>
        </w:rPr>
      </w:pPr>
      <w:r w:rsidRPr="00E01975">
        <w:rPr>
          <w:lang w:eastAsia="en-AU"/>
        </w:rPr>
        <w:t>While the Minister has the power to declare loca</w:t>
      </w:r>
      <w:r>
        <w:rPr>
          <w:lang w:eastAsia="en-AU"/>
        </w:rPr>
        <w:t>tion</w:t>
      </w:r>
      <w:r w:rsidRPr="00E01975">
        <w:rPr>
          <w:lang w:eastAsia="en-AU"/>
        </w:rPr>
        <w:t xml:space="preserve"> or activity triggers, there is no requirement to do so. It</w:t>
      </w:r>
      <w:r>
        <w:rPr>
          <w:lang w:eastAsia="en-AU"/>
        </w:rPr>
        <w:t>’</w:t>
      </w:r>
      <w:r w:rsidRPr="00E01975">
        <w:rPr>
          <w:lang w:eastAsia="en-AU"/>
        </w:rPr>
        <w:t xml:space="preserve">s expected that </w:t>
      </w:r>
      <w:r>
        <w:rPr>
          <w:lang w:eastAsia="en-AU"/>
        </w:rPr>
        <w:t>a referral trigger</w:t>
      </w:r>
      <w:r w:rsidRPr="00E01975">
        <w:rPr>
          <w:lang w:eastAsia="en-AU"/>
        </w:rPr>
        <w:t xml:space="preserve"> will only be declared in exceptional circumstances where there is a genuine and defensible need for potential developments of a certain activity or in a certain location</w:t>
      </w:r>
      <w:r>
        <w:rPr>
          <w:lang w:eastAsia="en-AU"/>
        </w:rPr>
        <w:t>.</w:t>
      </w:r>
    </w:p>
    <w:p w:rsidR="0028699B" w:rsidRPr="00E01975" w:rsidRDefault="0028699B" w:rsidP="0028699B">
      <w:pPr>
        <w:pStyle w:val="Heading1"/>
      </w:pPr>
      <w:r w:rsidRPr="00E01975">
        <w:lastRenderedPageBreak/>
        <w:t>How do</w:t>
      </w:r>
      <w:r>
        <w:t xml:space="preserve">es this </w:t>
      </w:r>
      <w:r w:rsidRPr="00E01975">
        <w:t>affect the commercial fishing industry?</w:t>
      </w:r>
    </w:p>
    <w:p w:rsidR="0028699B" w:rsidRPr="00E5523D" w:rsidRDefault="0028699B" w:rsidP="0028699B">
      <w:pPr>
        <w:pStyle w:val="Heading2"/>
      </w:pPr>
      <w:r w:rsidRPr="00E5523D">
        <w:t>As a proponent</w:t>
      </w:r>
    </w:p>
    <w:p w:rsidR="0028699B" w:rsidRDefault="0028699B" w:rsidP="0028699B">
      <w:pPr>
        <w:spacing w:after="160"/>
        <w:rPr>
          <w:lang w:eastAsia="en-AU"/>
        </w:rPr>
      </w:pPr>
      <w:r>
        <w:rPr>
          <w:lang w:eastAsia="en-AU"/>
        </w:rPr>
        <w:t>The concept of significant impact is unchanged for the purpose of environmental impact assessment. This means that only those types of projects that have previously needed to be referred are likely to require referral in the future. For example, the development of a new large aquaculture facility located on the Territory coastline is likely to require referral while a wild catch fishing activity is not.</w:t>
      </w:r>
    </w:p>
    <w:p w:rsidR="0028699B" w:rsidRDefault="0028699B" w:rsidP="0028699B">
      <w:pPr>
        <w:spacing w:after="160"/>
        <w:rPr>
          <w:lang w:eastAsia="en-AU"/>
        </w:rPr>
      </w:pPr>
      <w:r w:rsidRPr="0057143A">
        <w:rPr>
          <w:lang w:eastAsia="en-AU"/>
        </w:rPr>
        <w:t>The improved system provides certainty of process and timeframes and is focused on risk.</w:t>
      </w:r>
      <w:r>
        <w:rPr>
          <w:lang w:eastAsia="en-AU"/>
        </w:rPr>
        <w:t xml:space="preserve"> </w:t>
      </w:r>
      <w:r w:rsidRPr="0057143A">
        <w:rPr>
          <w:lang w:eastAsia="en-AU"/>
        </w:rPr>
        <w:t>It delivers a clear conclusion to the environmental impac</w:t>
      </w:r>
      <w:r>
        <w:rPr>
          <w:lang w:eastAsia="en-AU"/>
        </w:rPr>
        <w:t>t assessment process within 30 b</w:t>
      </w:r>
      <w:r w:rsidRPr="0057143A">
        <w:rPr>
          <w:lang w:eastAsia="en-AU"/>
        </w:rPr>
        <w:t>usiness days in the form of a decision by the Minister on the environmental sustainability of the proposed project.</w:t>
      </w:r>
    </w:p>
    <w:p w:rsidR="0028699B" w:rsidRDefault="0028699B" w:rsidP="0028699B">
      <w:pPr>
        <w:spacing w:after="160"/>
        <w:rPr>
          <w:lang w:eastAsia="en-AU"/>
        </w:rPr>
      </w:pPr>
      <w:r>
        <w:rPr>
          <w:lang w:eastAsia="en-AU"/>
        </w:rPr>
        <w:t>The legislation is not retrospective so projects that have an existing authorisation under the Fisheries Act 1988 are unaffected.</w:t>
      </w:r>
    </w:p>
    <w:p w:rsidR="0028699B" w:rsidRDefault="0028699B" w:rsidP="0028699B">
      <w:pPr>
        <w:spacing w:after="160"/>
        <w:rPr>
          <w:lang w:eastAsia="en-AU"/>
        </w:rPr>
      </w:pPr>
      <w:r>
        <w:rPr>
          <w:lang w:eastAsia="en-AU"/>
        </w:rPr>
        <w:t>A proposed major variation to an existing project that has an authorisation may need to be referred. Referrals are most likely to be required for changes to projects that, if they were new projects, would be likely to require referral. Again, this is more likely to be changes that result in a large scale aquaculture project than changes to a wild catch fishing activity.</w:t>
      </w:r>
    </w:p>
    <w:p w:rsidR="0028699B" w:rsidRDefault="0028699B" w:rsidP="0028699B">
      <w:pPr>
        <w:spacing w:after="160"/>
        <w:rPr>
          <w:lang w:eastAsia="en-AU"/>
        </w:rPr>
      </w:pPr>
      <w:r>
        <w:rPr>
          <w:lang w:eastAsia="en-AU"/>
        </w:rPr>
        <w:t>Guidance material will be developed and publicly available to assist proponents to consider if their proposed project, or changes to an existing project, has potential for significant impact and therefore needs to be referred.</w:t>
      </w:r>
    </w:p>
    <w:p w:rsidR="0028699B" w:rsidRDefault="0028699B" w:rsidP="0028699B">
      <w:pPr>
        <w:spacing w:after="160"/>
        <w:rPr>
          <w:lang w:eastAsia="en-AU"/>
        </w:rPr>
      </w:pPr>
      <w:r>
        <w:rPr>
          <w:lang w:eastAsia="en-AU"/>
        </w:rPr>
        <w:t>As a proponent, you will be able to seek a judicial review of decisions about the grant or refusal of an environmental approval by the Minister.</w:t>
      </w:r>
    </w:p>
    <w:p w:rsidR="0028699B" w:rsidRPr="00E5523D" w:rsidRDefault="0028699B" w:rsidP="0028699B">
      <w:pPr>
        <w:pStyle w:val="Heading2"/>
      </w:pPr>
      <w:r w:rsidRPr="00E5523D">
        <w:t>As a stakeholder</w:t>
      </w:r>
    </w:p>
    <w:p w:rsidR="0028699B" w:rsidRDefault="0028699B" w:rsidP="0028699B">
      <w:pPr>
        <w:spacing w:after="160"/>
        <w:rPr>
          <w:lang w:eastAsia="en-AU"/>
        </w:rPr>
      </w:pPr>
      <w:r>
        <w:rPr>
          <w:lang w:eastAsia="en-AU"/>
        </w:rPr>
        <w:t>The improved environmental impact assessment process provides increased opportunities for public participation and access to information throughout the process. Referrals submitted to the NT EPA will be published for public comment before the NT EPA decides if impact assessment is required or not for that particular project. This means you have increased access to information about projects that may potentially impact your industry and an earlier opportunity to identify any significant concerns.</w:t>
      </w:r>
    </w:p>
    <w:p w:rsidR="0028699B" w:rsidRDefault="0028699B" w:rsidP="0028699B">
      <w:pPr>
        <w:spacing w:after="160"/>
        <w:rPr>
          <w:lang w:eastAsia="en-AU"/>
        </w:rPr>
      </w:pPr>
      <w:r>
        <w:rPr>
          <w:lang w:eastAsia="en-AU"/>
        </w:rPr>
        <w:t>As a stakeholder, if you make a submission during the environmental impact assessment process, you will be able to seek a judicial review of decisions about the grant or refusal of an environmental approval by the Minister.</w:t>
      </w:r>
    </w:p>
    <w:p w:rsidR="0028699B" w:rsidRDefault="0028699B" w:rsidP="0028699B">
      <w:pPr>
        <w:pStyle w:val="Heading1"/>
      </w:pPr>
      <w:r w:rsidRPr="00AE1CAD">
        <w:t>What about further reforms?</w:t>
      </w:r>
    </w:p>
    <w:p w:rsidR="0028699B" w:rsidRDefault="0028699B" w:rsidP="0028699B">
      <w:pPr>
        <w:spacing w:after="160"/>
        <w:rPr>
          <w:lang w:eastAsia="en-AU"/>
        </w:rPr>
      </w:pPr>
      <w:r w:rsidRPr="00181A12">
        <w:rPr>
          <w:lang w:eastAsia="en-AU"/>
        </w:rPr>
        <w:t>The next stage of the reform program will see improvements to the way in which the Territory manages wastes, pollution, land clearing and the environmental impacts</w:t>
      </w:r>
      <w:r>
        <w:rPr>
          <w:lang w:eastAsia="en-AU"/>
        </w:rPr>
        <w:t xml:space="preserve"> of mining activities.</w:t>
      </w:r>
    </w:p>
    <w:p w:rsidR="0028699B" w:rsidRDefault="0028699B" w:rsidP="0028699B">
      <w:pPr>
        <w:spacing w:after="160"/>
        <w:rPr>
          <w:lang w:eastAsia="en-AU"/>
        </w:rPr>
      </w:pPr>
      <w:r w:rsidRPr="00181A12">
        <w:rPr>
          <w:lang w:eastAsia="en-AU"/>
        </w:rPr>
        <w:t>These reforms will result in amendments to the future Environment Protection Act and the repeal and replacement of the Waste Manag</w:t>
      </w:r>
      <w:r>
        <w:rPr>
          <w:lang w:eastAsia="en-AU"/>
        </w:rPr>
        <w:t>ement and Pollution Control Act 1998 and Litter Act </w:t>
      </w:r>
      <w:r w:rsidRPr="00181A12">
        <w:rPr>
          <w:lang w:eastAsia="en-AU"/>
        </w:rPr>
        <w:t>1972</w:t>
      </w:r>
      <w:r>
        <w:rPr>
          <w:lang w:eastAsia="en-AU"/>
        </w:rPr>
        <w:t>,</w:t>
      </w:r>
      <w:r w:rsidRPr="00181A12">
        <w:rPr>
          <w:lang w:eastAsia="en-AU"/>
        </w:rPr>
        <w:t xml:space="preserve"> and chang</w:t>
      </w:r>
      <w:r>
        <w:rPr>
          <w:lang w:eastAsia="en-AU"/>
        </w:rPr>
        <w:t>es to the Mining Management Act 2001 and Water Act </w:t>
      </w:r>
      <w:r w:rsidRPr="00181A12">
        <w:rPr>
          <w:lang w:eastAsia="en-AU"/>
        </w:rPr>
        <w:t>1992.</w:t>
      </w:r>
    </w:p>
    <w:p w:rsidR="0028699B" w:rsidRDefault="0028699B" w:rsidP="0028699B">
      <w:pPr>
        <w:spacing w:after="160"/>
        <w:rPr>
          <w:lang w:eastAsia="en-AU"/>
        </w:rPr>
      </w:pPr>
      <w:r>
        <w:rPr>
          <w:lang w:eastAsia="en-AU"/>
        </w:rPr>
        <w:t xml:space="preserve">These changes may result in changed requirements for licensing of environmental impacts associated with fish processing facilities, aquaculture facilities, and activities that discharge other </w:t>
      </w:r>
      <w:proofErr w:type="gramStart"/>
      <w:r>
        <w:rPr>
          <w:lang w:eastAsia="en-AU"/>
        </w:rPr>
        <w:t>animal</w:t>
      </w:r>
      <w:proofErr w:type="gramEnd"/>
      <w:r>
        <w:rPr>
          <w:lang w:eastAsia="en-AU"/>
        </w:rPr>
        <w:t xml:space="preserve"> wastes or effluent.</w:t>
      </w:r>
    </w:p>
    <w:p w:rsidR="0028699B" w:rsidRPr="0028699B" w:rsidRDefault="0028699B" w:rsidP="0028699B">
      <w:r w:rsidRPr="0028699B">
        <w:br w:type="page"/>
      </w:r>
    </w:p>
    <w:p w:rsidR="0028699B" w:rsidRPr="00E5523D" w:rsidRDefault="0028699B" w:rsidP="0028699B">
      <w:pPr>
        <w:pStyle w:val="Heading1"/>
      </w:pPr>
      <w:r w:rsidRPr="00E5523D">
        <w:lastRenderedPageBreak/>
        <w:t>Summary</w:t>
      </w:r>
    </w:p>
    <w:p w:rsidR="0028699B" w:rsidRDefault="0028699B" w:rsidP="0028699B">
      <w:pPr>
        <w:spacing w:after="160"/>
        <w:rPr>
          <w:lang w:eastAsia="en-AU"/>
        </w:rPr>
      </w:pPr>
      <w:r>
        <w:rPr>
          <w:lang w:eastAsia="en-AU"/>
        </w:rPr>
        <w:t>The Bill brings together mechanisms for accountability and transparency in an environmental impact assessment system that is focused on risk. It introduces a time-bound conclusion to the assessment process in the decision of the Minister on whether to issue an environmental approval for a proposed project. This, coupled with the clear processes and timeframes in the Regulations, will provide a strong legislative framework to facilitate investor confidence and community trust through a robust environmental regulatory system.</w:t>
      </w:r>
    </w:p>
    <w:p w:rsidR="0028699B" w:rsidRDefault="0028699B" w:rsidP="0028699B">
      <w:pPr>
        <w:spacing w:after="160"/>
        <w:rPr>
          <w:lang w:eastAsia="en-AU"/>
        </w:rPr>
      </w:pPr>
      <w:r>
        <w:rPr>
          <w:lang w:eastAsia="en-AU"/>
        </w:rPr>
        <w:t>There is not expected to be any change to the commercial fishing industry in terms of projects required to be referred for environmental impact assessment.</w:t>
      </w:r>
    </w:p>
    <w:p w:rsidR="00E172EB" w:rsidRDefault="0028699B" w:rsidP="0028699B">
      <w:pPr>
        <w:spacing w:after="160"/>
        <w:rPr>
          <w:lang w:eastAsia="en-AU"/>
        </w:rPr>
      </w:pPr>
      <w:r>
        <w:rPr>
          <w:lang w:eastAsia="en-AU"/>
        </w:rPr>
        <w:t>Government fishing management plans are not intended to be captured by the improved impact assessment system.</w:t>
      </w:r>
    </w:p>
    <w:sectPr w:rsidR="00E172EB" w:rsidSect="00B210DF">
      <w:headerReference w:type="default" r:id="rId8"/>
      <w:footerReference w:type="default" r:id="rId9"/>
      <w:headerReference w:type="first" r:id="rId10"/>
      <w:footerReference w:type="first" r:id="rId11"/>
      <w:pgSz w:w="11906" w:h="16838"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73" w:rsidRDefault="00332473" w:rsidP="001E1B1D">
      <w:r>
        <w:separator/>
      </w:r>
    </w:p>
    <w:p w:rsidR="00332473" w:rsidRDefault="00332473" w:rsidP="001E1B1D"/>
    <w:p w:rsidR="00332473" w:rsidRDefault="00332473"/>
  </w:endnote>
  <w:endnote w:type="continuationSeparator" w:id="0">
    <w:p w:rsidR="00332473" w:rsidRDefault="00332473" w:rsidP="001E1B1D">
      <w:r>
        <w:continuationSeparator/>
      </w:r>
    </w:p>
    <w:p w:rsidR="00332473" w:rsidRDefault="00332473" w:rsidP="001E1B1D"/>
    <w:p w:rsidR="00332473" w:rsidRDefault="00332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94" w:rsidRDefault="00DD5694" w:rsidP="001514F6">
    <w:pPr>
      <w:pStyle w:val="NTGfooter2smallspace"/>
    </w:pPr>
    <w:r>
      <w:tab/>
    </w:r>
  </w:p>
  <w:p w:rsidR="00DD5694" w:rsidRPr="007512AA" w:rsidRDefault="000171B2" w:rsidP="00332473">
    <w:pPr>
      <w:pStyle w:val="NTGFooter2"/>
      <w:ind w:firstLine="567"/>
      <w:rPr>
        <w:sz w:val="4"/>
        <w:szCs w:val="4"/>
      </w:rPr>
    </w:pPr>
    <w:r>
      <w:t>2</w:t>
    </w:r>
    <w:r w:rsidR="006344A5">
      <w:t>3</w:t>
    </w:r>
    <w:r w:rsidR="007512AA">
      <w:t> </w:t>
    </w:r>
    <w:r>
      <w:t>April 2019</w:t>
    </w:r>
    <w:r w:rsidR="00DD5694" w:rsidRPr="001514F6">
      <w:tab/>
      <w:t xml:space="preserve">Page </w:t>
    </w:r>
    <w:r w:rsidR="00DD5694" w:rsidRPr="001514F6">
      <w:fldChar w:fldCharType="begin"/>
    </w:r>
    <w:r w:rsidR="00DD5694" w:rsidRPr="001514F6">
      <w:instrText xml:space="preserve"> PAGE </w:instrText>
    </w:r>
    <w:r w:rsidR="00DD5694" w:rsidRPr="001514F6">
      <w:fldChar w:fldCharType="separate"/>
    </w:r>
    <w:r w:rsidR="009068DE">
      <w:rPr>
        <w:noProof/>
      </w:rPr>
      <w:t>2</w:t>
    </w:r>
    <w:r w:rsidR="00DD5694" w:rsidRPr="001514F6">
      <w:fldChar w:fldCharType="end"/>
    </w:r>
    <w:r w:rsidR="00DD5694" w:rsidRPr="001514F6">
      <w:t xml:space="preserve"> of </w:t>
    </w:r>
    <w:fldSimple w:instr=" NUMPAGES  ">
      <w:r w:rsidR="009068DE">
        <w:rPr>
          <w:noProof/>
        </w:rPr>
        <w:t>3</w:t>
      </w:r>
    </w:fldSimple>
    <w:r w:rsidR="007512AA">
      <w:rPr>
        <w:noProof/>
      </w:rPr>
      <w:br/>
    </w:r>
  </w:p>
  <w:p w:rsidR="00DD5694" w:rsidRPr="001514F6" w:rsidRDefault="00DD5694" w:rsidP="001514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907" w:type="dxa"/>
      <w:tblInd w:w="-113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567"/>
      <w:gridCol w:w="8364"/>
      <w:gridCol w:w="2268"/>
      <w:gridCol w:w="708"/>
    </w:tblGrid>
    <w:tr w:rsidR="00DD5694" w:rsidRPr="00132658" w:rsidTr="001514F6">
      <w:trPr>
        <w:cantSplit/>
        <w:trHeight w:hRule="exact" w:val="113"/>
        <w:tblHeader/>
      </w:trPr>
      <w:tc>
        <w:tcPr>
          <w:tcW w:w="11907" w:type="dxa"/>
          <w:gridSpan w:val="4"/>
          <w:tcBorders>
            <w:top w:val="single" w:sz="48" w:space="0" w:color="CB6015"/>
          </w:tcBorders>
          <w:vAlign w:val="center"/>
        </w:tcPr>
        <w:p w:rsidR="00DD5694" w:rsidRPr="00132658" w:rsidRDefault="00DD5694" w:rsidP="001514F6">
          <w:pPr>
            <w:jc w:val="right"/>
            <w:rPr>
              <w:noProof/>
            </w:rPr>
          </w:pPr>
        </w:p>
      </w:tc>
    </w:tr>
    <w:tr w:rsidR="00DD5694" w:rsidRPr="00132658" w:rsidTr="001514F6">
      <w:trPr>
        <w:gridBefore w:val="1"/>
        <w:gridAfter w:val="1"/>
        <w:wBefore w:w="567" w:type="dxa"/>
        <w:wAfter w:w="708" w:type="dxa"/>
        <w:cantSplit/>
        <w:trHeight w:hRule="exact" w:val="1400"/>
        <w:tblHeader/>
      </w:trPr>
      <w:tc>
        <w:tcPr>
          <w:tcW w:w="8364" w:type="dxa"/>
          <w:vAlign w:val="center"/>
        </w:tcPr>
        <w:p w:rsidR="00DD5694" w:rsidRPr="009E36BF" w:rsidRDefault="00DD5694" w:rsidP="007512AA">
          <w:pPr>
            <w:pStyle w:val="NTGFooter1text"/>
          </w:pPr>
          <w:r w:rsidRPr="009E36BF">
            <w:t xml:space="preserve">For more information visit </w:t>
          </w:r>
          <w:r w:rsidR="007512AA" w:rsidRPr="007512AA">
            <w:rPr>
              <w:b/>
            </w:rPr>
            <w:t>denr.nt.gov.au</w:t>
          </w:r>
          <w:r w:rsidR="007512AA" w:rsidRPr="009E36BF">
            <w:t xml:space="preserve"> </w:t>
          </w:r>
        </w:p>
      </w:tc>
      <w:tc>
        <w:tcPr>
          <w:tcW w:w="2268" w:type="dxa"/>
          <w:vAlign w:val="center"/>
        </w:tcPr>
        <w:p w:rsidR="00DD5694" w:rsidRPr="001E14EB" w:rsidRDefault="00DD5694" w:rsidP="001514F6">
          <w:pPr>
            <w:jc w:val="right"/>
          </w:pPr>
          <w:r w:rsidRPr="00132658">
            <w:rPr>
              <w:noProof/>
              <w:lang w:eastAsia="en-AU"/>
            </w:rPr>
            <w:drawing>
              <wp:inline distT="0" distB="0" distL="0" distR="0" wp14:anchorId="620E8F3D" wp14:editId="639A04B4">
                <wp:extent cx="1347470" cy="481330"/>
                <wp:effectExtent l="0" t="0" r="5080" b="0"/>
                <wp:docPr id="11" name="Picture 1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DD5694" w:rsidRDefault="00DD5694" w:rsidP="001514F6">
    <w:pPr>
      <w:pStyle w:val="NTGfooter1sp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73" w:rsidRPr="000B527C" w:rsidRDefault="00332473" w:rsidP="000B527C">
      <w:pPr>
        <w:spacing w:after="60"/>
        <w:rPr>
          <w:sz w:val="20"/>
          <w:szCs w:val="20"/>
        </w:rPr>
      </w:pPr>
      <w:r>
        <w:separator/>
      </w:r>
    </w:p>
  </w:footnote>
  <w:footnote w:type="continuationSeparator" w:id="0">
    <w:p w:rsidR="00332473" w:rsidRPr="000B527C" w:rsidRDefault="00332473" w:rsidP="000B527C">
      <w:pPr>
        <w:spacing w:after="80"/>
        <w:rPr>
          <w:sz w:val="20"/>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282529479"/>
      <w:dataBinding w:prefixMappings="xmlns:ns0='http://purl.org/dc/elements/1.1/' xmlns:ns1='http://schemas.openxmlformats.org/package/2006/metadata/core-properties' " w:xpath="/ns1:coreProperties[1]/ns0:title[1]" w:storeItemID="{6C3C8BC8-F283-45AE-878A-BAB7291924A1}"/>
      <w:text/>
    </w:sdtPr>
    <w:sdtEndPr/>
    <w:sdtContent>
      <w:p w:rsidR="00DD5694" w:rsidRDefault="0028699B" w:rsidP="001514F6">
        <w:pPr>
          <w:pStyle w:val="Header"/>
          <w:ind w:right="-568"/>
        </w:pPr>
        <w:r>
          <w:t>Fact sheet 22: Commercial fishing industry</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31" w:type="dxa"/>
      <w:tblInd w:w="42" w:type="dxa"/>
      <w:tblLook w:val="0600" w:firstRow="0" w:lastRow="0" w:firstColumn="0" w:lastColumn="0" w:noHBand="1" w:noVBand="1"/>
    </w:tblPr>
    <w:tblGrid>
      <w:gridCol w:w="258"/>
      <w:gridCol w:w="9873"/>
    </w:tblGrid>
    <w:tr w:rsidR="00DD5694" w:rsidRPr="0033290B" w:rsidTr="001514F6">
      <w:trPr>
        <w:trHeight w:val="1434"/>
        <w:tblHeader/>
      </w:trPr>
      <w:tc>
        <w:tcPr>
          <w:tcW w:w="258" w:type="dxa"/>
          <w:tcBorders>
            <w:top w:val="nil"/>
            <w:left w:val="nil"/>
            <w:bottom w:val="nil"/>
            <w:right w:val="nil"/>
          </w:tcBorders>
          <w:tcMar>
            <w:left w:w="0" w:type="dxa"/>
          </w:tcMar>
        </w:tcPr>
        <w:p w:rsidR="00DD5694" w:rsidRPr="0033290B" w:rsidRDefault="00DD5694" w:rsidP="001514F6">
          <w:r w:rsidRPr="0033290B">
            <w:rPr>
              <w:noProof/>
              <w:lang w:eastAsia="en-AU"/>
            </w:rPr>
            <mc:AlternateContent>
              <mc:Choice Requires="wpg">
                <w:drawing>
                  <wp:inline distT="0" distB="0" distL="0" distR="0" wp14:anchorId="796DE414" wp14:editId="07D3C3E3">
                    <wp:extent cx="93588" cy="882415"/>
                    <wp:effectExtent l="0" t="0" r="1905" b="0"/>
                    <wp:docPr id="28" name="Group 28"/>
                    <wp:cNvGraphicFramePr/>
                    <a:graphic xmlns:a="http://schemas.openxmlformats.org/drawingml/2006/main">
                      <a:graphicData uri="http://schemas.microsoft.com/office/word/2010/wordprocessingGroup">
                        <wpg:wgp>
                          <wpg:cNvGrpSpPr/>
                          <wpg:grpSpPr>
                            <a:xfrm>
                              <a:off x="0" y="0"/>
                              <a:ext cx="93588" cy="882415"/>
                              <a:chOff x="0" y="0"/>
                              <a:chExt cx="93588" cy="882415"/>
                            </a:xfrm>
                          </wpg:grpSpPr>
                          <wps:wsp>
                            <wps:cNvPr id="1" name="Rectangle 29"/>
                            <wps:cNvSpPr/>
                            <wps:spPr>
                              <a:xfrm>
                                <a:off x="0" y="0"/>
                                <a:ext cx="93588" cy="3999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1440" bIns="0" numCol="1" spcCol="0" rtlCol="0" fromWordArt="0" anchor="t" anchorCtr="0" forceAA="0" compatLnSpc="1">
                              <a:prstTxWarp prst="textNoShape">
                                <a:avLst/>
                              </a:prstTxWarp>
                              <a:noAutofit/>
                            </wps:bodyPr>
                          </wps:wsp>
                          <wps:wsp>
                            <wps:cNvPr id="2" name="Rectangle 30"/>
                            <wps:cNvSpPr/>
                            <wps:spPr>
                              <a:xfrm>
                                <a:off x="0" y="396816"/>
                                <a:ext cx="93588" cy="485599"/>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0000" bIns="0" numCol="1" spcCol="0" rtlCol="0" fromWordArt="0" anchor="t" anchorCtr="0" forceAA="0" compatLnSpc="1">
                              <a:prstTxWarp prst="textNoShape">
                                <a:avLst/>
                              </a:prstTxWarp>
                              <a:noAutofit/>
                            </wps:bodyPr>
                          </wps:wsp>
                        </wpg:wgp>
                      </a:graphicData>
                    </a:graphic>
                  </wp:inline>
                </w:drawing>
              </mc:Choice>
              <mc:Fallback>
                <w:pict>
                  <v:group w14:anchorId="408B00C9" id="Group 28" o:spid="_x0000_s1026" style="width:7.35pt;height:69.5pt;mso-position-horizontal-relative:char;mso-position-vertical-relative:line" coordsize="935,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">
                    <v:rect id="Rectangle 29" o:spid="_x0000_s1027" style="position:absolute;width:935;height:3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" fillcolor="black [3213]" stroked="f" strokeweight="2pt">
                      <v:textbox inset="0,0,,0"/>
                    </v:rect>
                    <v:rect id="Rectangle 30" o:spid="_x0000_s1028" style="position:absolute;top:3968;width:935;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" fillcolor="#cb6015" stroked="f" strokeweight="2pt">
                      <v:textbox inset="0,0,2.5mm,0"/>
                    </v:rect>
                    <w10:anchorlock/>
                  </v:group>
                </w:pict>
              </mc:Fallback>
            </mc:AlternateContent>
          </w:r>
        </w:p>
      </w:tc>
      <w:tc>
        <w:tcPr>
          <w:tcW w:w="9873" w:type="dxa"/>
          <w:tcBorders>
            <w:top w:val="nil"/>
            <w:left w:val="nil"/>
            <w:bottom w:val="nil"/>
            <w:right w:val="nil"/>
          </w:tcBorders>
          <w:tcMar>
            <w:left w:w="0" w:type="dxa"/>
          </w:tcMar>
          <w:vAlign w:val="bottom"/>
        </w:tcPr>
        <w:p w:rsidR="00DD5694" w:rsidRPr="0033290B" w:rsidRDefault="00DD5694" w:rsidP="00521378">
          <w:r w:rsidRPr="0033290B">
            <w:rPr>
              <w:rStyle w:val="NTGdepartmentofChar"/>
            </w:rPr>
            <w:fldChar w:fldCharType="begin"/>
          </w:r>
          <w:r w:rsidRPr="0033290B">
            <w:rPr>
              <w:rStyle w:val="NTGdepartmentofChar"/>
            </w:rPr>
            <w:instrText xml:space="preserve"> DOCPROPERTY  DepartmentOf  \* MERGEFORMAT </w:instrText>
          </w:r>
          <w:r w:rsidRPr="0033290B">
            <w:rPr>
              <w:rStyle w:val="NTGdepartmentofChar"/>
            </w:rPr>
            <w:fldChar w:fldCharType="separate"/>
          </w:r>
          <w:r w:rsidR="009068DE">
            <w:rPr>
              <w:rStyle w:val="NTGdepartmentofChar"/>
            </w:rPr>
            <w:t>Department of</w:t>
          </w:r>
          <w:r w:rsidRPr="0033290B">
            <w:rPr>
              <w:rStyle w:val="NTGdepartmentofChar"/>
            </w:rPr>
            <w:fldChar w:fldCharType="end"/>
          </w:r>
          <w:r w:rsidRPr="0033290B">
            <w:br/>
          </w:r>
          <w:r w:rsidR="00521378">
            <w:rPr>
              <w:rStyle w:val="NTGdepartmentnameChar"/>
            </w:rPr>
            <w:t>Environment and natural resources</w:t>
          </w:r>
        </w:p>
      </w:tc>
    </w:tr>
  </w:tbl>
  <w:p w:rsidR="00DD5694" w:rsidRDefault="00DD5694" w:rsidP="001514F6">
    <w:pPr>
      <w:pStyle w:val="NTGheader1spac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990"/>
    <w:multiLevelType w:val="multilevel"/>
    <w:tmpl w:val="48728AA6"/>
    <w:name w:val="NTG Table Bullet List33222222222222222"/>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1" w15:restartNumberingAfterBreak="0">
    <w:nsid w:val="067E52AF"/>
    <w:multiLevelType w:val="hybridMultilevel"/>
    <w:tmpl w:val="C5B0A30A"/>
    <w:lvl w:ilvl="0" w:tplc="47BAF9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6D0D31"/>
    <w:multiLevelType w:val="hybridMultilevel"/>
    <w:tmpl w:val="6CECFD5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 w15:restartNumberingAfterBreak="0">
    <w:nsid w:val="0E895C17"/>
    <w:multiLevelType w:val="hybridMultilevel"/>
    <w:tmpl w:val="45F4EFF0"/>
    <w:lvl w:ilvl="0" w:tplc="56DCCC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C4E8B"/>
    <w:multiLevelType w:val="hybridMultilevel"/>
    <w:tmpl w:val="7006366E"/>
    <w:lvl w:ilvl="0" w:tplc="A31E3A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D62063"/>
    <w:multiLevelType w:val="hybridMultilevel"/>
    <w:tmpl w:val="3BDA6694"/>
    <w:lvl w:ilvl="0" w:tplc="BA84F4EC">
      <w:start w:val="1"/>
      <w:numFmt w:val="bullet"/>
      <w:lvlText w:val=""/>
      <w:lvlJc w:val="left"/>
      <w:pPr>
        <w:ind w:left="1853" w:hanging="361"/>
      </w:pPr>
      <w:rPr>
        <w:rFonts w:ascii="Symbol" w:eastAsia="Symbol" w:hAnsi="Symbol" w:hint="default"/>
        <w:sz w:val="22"/>
        <w:szCs w:val="22"/>
      </w:rPr>
    </w:lvl>
    <w:lvl w:ilvl="1" w:tplc="9C968E24">
      <w:start w:val="1"/>
      <w:numFmt w:val="bullet"/>
      <w:lvlText w:val="•"/>
      <w:lvlJc w:val="left"/>
      <w:pPr>
        <w:ind w:left="2858" w:hanging="361"/>
      </w:pPr>
      <w:rPr>
        <w:rFonts w:hint="default"/>
      </w:rPr>
    </w:lvl>
    <w:lvl w:ilvl="2" w:tplc="6F8A931C">
      <w:start w:val="1"/>
      <w:numFmt w:val="bullet"/>
      <w:lvlText w:val="•"/>
      <w:lvlJc w:val="left"/>
      <w:pPr>
        <w:ind w:left="3863" w:hanging="361"/>
      </w:pPr>
      <w:rPr>
        <w:rFonts w:hint="default"/>
      </w:rPr>
    </w:lvl>
    <w:lvl w:ilvl="3" w:tplc="446061F8">
      <w:start w:val="1"/>
      <w:numFmt w:val="bullet"/>
      <w:lvlText w:val="•"/>
      <w:lvlJc w:val="left"/>
      <w:pPr>
        <w:ind w:left="4869" w:hanging="361"/>
      </w:pPr>
      <w:rPr>
        <w:rFonts w:hint="default"/>
      </w:rPr>
    </w:lvl>
    <w:lvl w:ilvl="4" w:tplc="DC3C7B98">
      <w:start w:val="1"/>
      <w:numFmt w:val="bullet"/>
      <w:lvlText w:val="•"/>
      <w:lvlJc w:val="left"/>
      <w:pPr>
        <w:ind w:left="5874" w:hanging="361"/>
      </w:pPr>
      <w:rPr>
        <w:rFonts w:hint="default"/>
      </w:rPr>
    </w:lvl>
    <w:lvl w:ilvl="5" w:tplc="EEF85176">
      <w:start w:val="1"/>
      <w:numFmt w:val="bullet"/>
      <w:lvlText w:val="•"/>
      <w:lvlJc w:val="left"/>
      <w:pPr>
        <w:ind w:left="6879" w:hanging="361"/>
      </w:pPr>
      <w:rPr>
        <w:rFonts w:hint="default"/>
      </w:rPr>
    </w:lvl>
    <w:lvl w:ilvl="6" w:tplc="6EA64CC8">
      <w:start w:val="1"/>
      <w:numFmt w:val="bullet"/>
      <w:lvlText w:val="•"/>
      <w:lvlJc w:val="left"/>
      <w:pPr>
        <w:ind w:left="7885" w:hanging="361"/>
      </w:pPr>
      <w:rPr>
        <w:rFonts w:hint="default"/>
      </w:rPr>
    </w:lvl>
    <w:lvl w:ilvl="7" w:tplc="F3DCF0AA">
      <w:start w:val="1"/>
      <w:numFmt w:val="bullet"/>
      <w:lvlText w:val="•"/>
      <w:lvlJc w:val="left"/>
      <w:pPr>
        <w:ind w:left="8890" w:hanging="361"/>
      </w:pPr>
      <w:rPr>
        <w:rFonts w:hint="default"/>
      </w:rPr>
    </w:lvl>
    <w:lvl w:ilvl="8" w:tplc="5C245AD0">
      <w:start w:val="1"/>
      <w:numFmt w:val="bullet"/>
      <w:lvlText w:val="•"/>
      <w:lvlJc w:val="left"/>
      <w:pPr>
        <w:ind w:left="9895" w:hanging="361"/>
      </w:pPr>
      <w:rPr>
        <w:rFonts w:hint="default"/>
      </w:rPr>
    </w:lvl>
  </w:abstractNum>
  <w:abstractNum w:abstractNumId="6" w15:restartNumberingAfterBreak="0">
    <w:nsid w:val="20256491"/>
    <w:multiLevelType w:val="hybridMultilevel"/>
    <w:tmpl w:val="5CAA7D12"/>
    <w:lvl w:ilvl="0" w:tplc="A08E12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537933"/>
    <w:multiLevelType w:val="hybridMultilevel"/>
    <w:tmpl w:val="EBC461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2666541D"/>
    <w:multiLevelType w:val="hybridMultilevel"/>
    <w:tmpl w:val="6D6C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1F0338"/>
    <w:multiLevelType w:val="hybridMultilevel"/>
    <w:tmpl w:val="6E460E74"/>
    <w:lvl w:ilvl="0" w:tplc="AF3C2C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DE1DD4"/>
    <w:multiLevelType w:val="hybridMultilevel"/>
    <w:tmpl w:val="009CB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616C2E"/>
    <w:multiLevelType w:val="hybridMultilevel"/>
    <w:tmpl w:val="E00EF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1117EB"/>
    <w:multiLevelType w:val="hybridMultilevel"/>
    <w:tmpl w:val="8DAA2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685A4C"/>
    <w:multiLevelType w:val="hybridMultilevel"/>
    <w:tmpl w:val="590A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AC0BD5"/>
    <w:multiLevelType w:val="multilevel"/>
    <w:tmpl w:val="39746A98"/>
    <w:name w:val="NTG Table Bullet List322232"/>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16" w15:restartNumberingAfterBreak="0">
    <w:nsid w:val="34AD05EB"/>
    <w:multiLevelType w:val="hybridMultilevel"/>
    <w:tmpl w:val="34F27D7A"/>
    <w:lvl w:ilvl="0" w:tplc="2D266448">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C0715C"/>
    <w:multiLevelType w:val="hybridMultilevel"/>
    <w:tmpl w:val="BF06F97E"/>
    <w:lvl w:ilvl="0" w:tplc="15605A6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673A96"/>
    <w:multiLevelType w:val="multilevel"/>
    <w:tmpl w:val="4E6AC8F6"/>
    <w:numStyleLink w:val="NTGStandardNumList"/>
  </w:abstractNum>
  <w:abstractNum w:abstractNumId="19" w15:restartNumberingAfterBreak="0">
    <w:nsid w:val="3CA37DBE"/>
    <w:multiLevelType w:val="hybridMultilevel"/>
    <w:tmpl w:val="474E1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DE5182"/>
    <w:multiLevelType w:val="hybridMultilevel"/>
    <w:tmpl w:val="7CE4D00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1" w15:restartNumberingAfterBreak="0">
    <w:nsid w:val="3E283AEF"/>
    <w:multiLevelType w:val="hybridMultilevel"/>
    <w:tmpl w:val="B0E4AA36"/>
    <w:lvl w:ilvl="0" w:tplc="604E26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2E2DBD"/>
    <w:multiLevelType w:val="hybridMultilevel"/>
    <w:tmpl w:val="BB88E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707988"/>
    <w:multiLevelType w:val="hybridMultilevel"/>
    <w:tmpl w:val="55C282B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4" w15:restartNumberingAfterBreak="0">
    <w:nsid w:val="416925F3"/>
    <w:multiLevelType w:val="hybridMultilevel"/>
    <w:tmpl w:val="F3EA2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D92ADC"/>
    <w:multiLevelType w:val="hybridMultilevel"/>
    <w:tmpl w:val="2744D1AA"/>
    <w:lvl w:ilvl="0" w:tplc="17E880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90555D"/>
    <w:multiLevelType w:val="multilevel"/>
    <w:tmpl w:val="4E6AC8F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7" w15:restartNumberingAfterBreak="0">
    <w:nsid w:val="4F7B731A"/>
    <w:multiLevelType w:val="multilevel"/>
    <w:tmpl w:val="48728AA6"/>
    <w:numStyleLink w:val="NTGTableList"/>
  </w:abstractNum>
  <w:abstractNum w:abstractNumId="28" w15:restartNumberingAfterBreak="0">
    <w:nsid w:val="514D2C3E"/>
    <w:multiLevelType w:val="hybridMultilevel"/>
    <w:tmpl w:val="0E88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D905B6"/>
    <w:multiLevelType w:val="multilevel"/>
    <w:tmpl w:val="4E6AC8F6"/>
    <w:numStyleLink w:val="NTGStandardNumList"/>
  </w:abstractNum>
  <w:abstractNum w:abstractNumId="30" w15:restartNumberingAfterBreak="0">
    <w:nsid w:val="54603364"/>
    <w:multiLevelType w:val="hybridMultilevel"/>
    <w:tmpl w:val="6774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E20D8D"/>
    <w:multiLevelType w:val="hybridMultilevel"/>
    <w:tmpl w:val="1958A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E15B1A"/>
    <w:multiLevelType w:val="hybridMultilevel"/>
    <w:tmpl w:val="8D486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0E7C30"/>
    <w:multiLevelType w:val="hybridMultilevel"/>
    <w:tmpl w:val="43963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C92A3A"/>
    <w:multiLevelType w:val="hybridMultilevel"/>
    <w:tmpl w:val="362A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2E500F"/>
    <w:multiLevelType w:val="hybridMultilevel"/>
    <w:tmpl w:val="BFE0A28C"/>
    <w:lvl w:ilvl="0" w:tplc="7578DA92">
      <w:start w:val="1"/>
      <w:numFmt w:val="bullet"/>
      <w:pStyle w:val="Bullet0"/>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0646E7"/>
    <w:multiLevelType w:val="hybridMultilevel"/>
    <w:tmpl w:val="91D879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77C17D9D"/>
    <w:multiLevelType w:val="multilevel"/>
    <w:tmpl w:val="39746A98"/>
    <w:numStyleLink w:val="NTGTableNumList"/>
  </w:abstractNum>
  <w:abstractNum w:abstractNumId="38" w15:restartNumberingAfterBreak="0">
    <w:nsid w:val="7C006358"/>
    <w:multiLevelType w:val="hybridMultilevel"/>
    <w:tmpl w:val="DDFA5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15069B"/>
    <w:multiLevelType w:val="hybridMultilevel"/>
    <w:tmpl w:val="2E82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3C1D48"/>
    <w:multiLevelType w:val="multilevel"/>
    <w:tmpl w:val="BD7A8414"/>
    <w:numStyleLink w:val="NTGStandardList"/>
  </w:abstractNum>
  <w:num w:numId="1">
    <w:abstractNumId w:val="8"/>
  </w:num>
  <w:num w:numId="2">
    <w:abstractNumId w:val="26"/>
  </w:num>
  <w:num w:numId="3">
    <w:abstractNumId w:val="0"/>
  </w:num>
  <w:num w:numId="4">
    <w:abstractNumId w:val="15"/>
  </w:num>
  <w:num w:numId="5">
    <w:abstractNumId w:val="29"/>
  </w:num>
  <w:num w:numId="6">
    <w:abstractNumId w:val="37"/>
  </w:num>
  <w:num w:numId="7">
    <w:abstractNumId w:val="40"/>
  </w:num>
  <w:num w:numId="8">
    <w:abstractNumId w:val="27"/>
  </w:num>
  <w:num w:numId="9">
    <w:abstractNumId w:val="39"/>
  </w:num>
  <w:num w:numId="10">
    <w:abstractNumId w:val="9"/>
  </w:num>
  <w:num w:numId="11">
    <w:abstractNumId w:val="28"/>
  </w:num>
  <w:num w:numId="12">
    <w:abstractNumId w:val="34"/>
  </w:num>
  <w:num w:numId="13">
    <w:abstractNumId w:val="14"/>
  </w:num>
  <w:num w:numId="14">
    <w:abstractNumId w:val="5"/>
  </w:num>
  <w:num w:numId="15">
    <w:abstractNumId w:val="3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6"/>
  </w:num>
  <w:num w:numId="19">
    <w:abstractNumId w:val="30"/>
  </w:num>
  <w:num w:numId="20">
    <w:abstractNumId w:val="21"/>
  </w:num>
  <w:num w:numId="21">
    <w:abstractNumId w:val="3"/>
  </w:num>
  <w:num w:numId="22">
    <w:abstractNumId w:val="25"/>
  </w:num>
  <w:num w:numId="23">
    <w:abstractNumId w:val="1"/>
  </w:num>
  <w:num w:numId="24">
    <w:abstractNumId w:val="4"/>
  </w:num>
  <w:num w:numId="25">
    <w:abstractNumId w:val="31"/>
  </w:num>
  <w:num w:numId="26">
    <w:abstractNumId w:val="11"/>
  </w:num>
  <w:num w:numId="27">
    <w:abstractNumId w:val="6"/>
  </w:num>
  <w:num w:numId="28">
    <w:abstractNumId w:val="24"/>
  </w:num>
  <w:num w:numId="29">
    <w:abstractNumId w:val="7"/>
  </w:num>
  <w:num w:numId="30">
    <w:abstractNumId w:val="22"/>
  </w:num>
  <w:num w:numId="31">
    <w:abstractNumId w:val="36"/>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2"/>
  </w:num>
  <w:num w:numId="35">
    <w:abstractNumId w:val="13"/>
  </w:num>
  <w:num w:numId="36">
    <w:abstractNumId w:val="10"/>
  </w:num>
  <w:num w:numId="37">
    <w:abstractNumId w:val="33"/>
  </w:num>
  <w:num w:numId="38">
    <w:abstractNumId w:val="20"/>
  </w:num>
  <w:num w:numId="39">
    <w:abstractNumId w:val="35"/>
  </w:num>
  <w:num w:numId="40">
    <w:abstractNumId w:val="2"/>
  </w:num>
  <w:num w:numId="41">
    <w:abstractNumId w:val="23"/>
  </w:num>
  <w:num w:numId="4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73"/>
    <w:rsid w:val="000006B9"/>
    <w:rsid w:val="000171B2"/>
    <w:rsid w:val="00025A52"/>
    <w:rsid w:val="0005221E"/>
    <w:rsid w:val="000909B6"/>
    <w:rsid w:val="00093A03"/>
    <w:rsid w:val="000A4DE4"/>
    <w:rsid w:val="000A6BB8"/>
    <w:rsid w:val="000B151D"/>
    <w:rsid w:val="000B527C"/>
    <w:rsid w:val="000C5726"/>
    <w:rsid w:val="000E20B1"/>
    <w:rsid w:val="000F294B"/>
    <w:rsid w:val="00102DCC"/>
    <w:rsid w:val="001102F2"/>
    <w:rsid w:val="00113C63"/>
    <w:rsid w:val="0013262F"/>
    <w:rsid w:val="001416E3"/>
    <w:rsid w:val="00142DA5"/>
    <w:rsid w:val="001514F6"/>
    <w:rsid w:val="001637C9"/>
    <w:rsid w:val="00165EEF"/>
    <w:rsid w:val="00167D47"/>
    <w:rsid w:val="001839D9"/>
    <w:rsid w:val="001A76D2"/>
    <w:rsid w:val="001C101B"/>
    <w:rsid w:val="001C44BE"/>
    <w:rsid w:val="001C6AE7"/>
    <w:rsid w:val="001D19D0"/>
    <w:rsid w:val="001E05C3"/>
    <w:rsid w:val="001E1B1D"/>
    <w:rsid w:val="001E1CCA"/>
    <w:rsid w:val="001F2594"/>
    <w:rsid w:val="00230D72"/>
    <w:rsid w:val="00231DB3"/>
    <w:rsid w:val="0023336B"/>
    <w:rsid w:val="0024667C"/>
    <w:rsid w:val="00254556"/>
    <w:rsid w:val="00264313"/>
    <w:rsid w:val="002679F4"/>
    <w:rsid w:val="00270958"/>
    <w:rsid w:val="00271112"/>
    <w:rsid w:val="00271BD6"/>
    <w:rsid w:val="00273A77"/>
    <w:rsid w:val="00276837"/>
    <w:rsid w:val="0028699B"/>
    <w:rsid w:val="002877CA"/>
    <w:rsid w:val="002B2C86"/>
    <w:rsid w:val="002C04BD"/>
    <w:rsid w:val="002C3C0B"/>
    <w:rsid w:val="002E0531"/>
    <w:rsid w:val="002E094A"/>
    <w:rsid w:val="00307A62"/>
    <w:rsid w:val="00313C1C"/>
    <w:rsid w:val="00332339"/>
    <w:rsid w:val="00332473"/>
    <w:rsid w:val="0033290B"/>
    <w:rsid w:val="00332BA2"/>
    <w:rsid w:val="00345F19"/>
    <w:rsid w:val="003462D0"/>
    <w:rsid w:val="0038201C"/>
    <w:rsid w:val="00382609"/>
    <w:rsid w:val="00387556"/>
    <w:rsid w:val="003A4DCA"/>
    <w:rsid w:val="003A6162"/>
    <w:rsid w:val="003B2050"/>
    <w:rsid w:val="003B4BCB"/>
    <w:rsid w:val="003C0B25"/>
    <w:rsid w:val="003D25DC"/>
    <w:rsid w:val="003E5ABB"/>
    <w:rsid w:val="003E5DB8"/>
    <w:rsid w:val="004024A0"/>
    <w:rsid w:val="004052CB"/>
    <w:rsid w:val="00405372"/>
    <w:rsid w:val="00407C87"/>
    <w:rsid w:val="0041640F"/>
    <w:rsid w:val="0042438F"/>
    <w:rsid w:val="0042638E"/>
    <w:rsid w:val="00434333"/>
    <w:rsid w:val="004377B5"/>
    <w:rsid w:val="0044316B"/>
    <w:rsid w:val="00452E75"/>
    <w:rsid w:val="00453C37"/>
    <w:rsid w:val="00474AC3"/>
    <w:rsid w:val="00486929"/>
    <w:rsid w:val="004A701A"/>
    <w:rsid w:val="004F656A"/>
    <w:rsid w:val="0050398E"/>
    <w:rsid w:val="00513F20"/>
    <w:rsid w:val="00521378"/>
    <w:rsid w:val="0053381D"/>
    <w:rsid w:val="00544316"/>
    <w:rsid w:val="00582CF5"/>
    <w:rsid w:val="005B0917"/>
    <w:rsid w:val="005B2B13"/>
    <w:rsid w:val="005D17AF"/>
    <w:rsid w:val="005D257B"/>
    <w:rsid w:val="005D6AA0"/>
    <w:rsid w:val="005E718F"/>
    <w:rsid w:val="00606F42"/>
    <w:rsid w:val="00616305"/>
    <w:rsid w:val="006344A5"/>
    <w:rsid w:val="00636729"/>
    <w:rsid w:val="0063745F"/>
    <w:rsid w:val="00637D95"/>
    <w:rsid w:val="00650F79"/>
    <w:rsid w:val="0066660A"/>
    <w:rsid w:val="00673F66"/>
    <w:rsid w:val="0068621D"/>
    <w:rsid w:val="0068636E"/>
    <w:rsid w:val="0068743A"/>
    <w:rsid w:val="006961A9"/>
    <w:rsid w:val="006C2506"/>
    <w:rsid w:val="006D2EF5"/>
    <w:rsid w:val="006D6004"/>
    <w:rsid w:val="006E41F3"/>
    <w:rsid w:val="006E5677"/>
    <w:rsid w:val="006F0BF0"/>
    <w:rsid w:val="006F1A32"/>
    <w:rsid w:val="006F380C"/>
    <w:rsid w:val="007217AB"/>
    <w:rsid w:val="00724338"/>
    <w:rsid w:val="00725DA1"/>
    <w:rsid w:val="00745C62"/>
    <w:rsid w:val="00750943"/>
    <w:rsid w:val="007512AA"/>
    <w:rsid w:val="00757845"/>
    <w:rsid w:val="00763A7E"/>
    <w:rsid w:val="00780DC5"/>
    <w:rsid w:val="00786219"/>
    <w:rsid w:val="007A5A09"/>
    <w:rsid w:val="007B6847"/>
    <w:rsid w:val="007C4403"/>
    <w:rsid w:val="007E71D7"/>
    <w:rsid w:val="007F2639"/>
    <w:rsid w:val="007F5484"/>
    <w:rsid w:val="008006E6"/>
    <w:rsid w:val="00803F43"/>
    <w:rsid w:val="00810C0B"/>
    <w:rsid w:val="00816544"/>
    <w:rsid w:val="0081678C"/>
    <w:rsid w:val="00817D6C"/>
    <w:rsid w:val="00836E53"/>
    <w:rsid w:val="00850285"/>
    <w:rsid w:val="00863189"/>
    <w:rsid w:val="00871D43"/>
    <w:rsid w:val="00872BE1"/>
    <w:rsid w:val="008A6446"/>
    <w:rsid w:val="008E5DE5"/>
    <w:rsid w:val="008F5152"/>
    <w:rsid w:val="00903161"/>
    <w:rsid w:val="00904EBD"/>
    <w:rsid w:val="009068DE"/>
    <w:rsid w:val="009229EF"/>
    <w:rsid w:val="00923EA4"/>
    <w:rsid w:val="00926B69"/>
    <w:rsid w:val="009271FD"/>
    <w:rsid w:val="0095250B"/>
    <w:rsid w:val="009530AF"/>
    <w:rsid w:val="00954B0B"/>
    <w:rsid w:val="00956890"/>
    <w:rsid w:val="00967B4D"/>
    <w:rsid w:val="009746F0"/>
    <w:rsid w:val="00980344"/>
    <w:rsid w:val="00983CDE"/>
    <w:rsid w:val="0099341F"/>
    <w:rsid w:val="009A52FB"/>
    <w:rsid w:val="009C2FD1"/>
    <w:rsid w:val="009C325A"/>
    <w:rsid w:val="009C5F3A"/>
    <w:rsid w:val="009E36BF"/>
    <w:rsid w:val="009E5740"/>
    <w:rsid w:val="009E6EF7"/>
    <w:rsid w:val="009F0840"/>
    <w:rsid w:val="009F4854"/>
    <w:rsid w:val="00A00527"/>
    <w:rsid w:val="00A05DDD"/>
    <w:rsid w:val="00A23809"/>
    <w:rsid w:val="00A3211F"/>
    <w:rsid w:val="00A455AF"/>
    <w:rsid w:val="00A54BC5"/>
    <w:rsid w:val="00A70A18"/>
    <w:rsid w:val="00A75B45"/>
    <w:rsid w:val="00A929A2"/>
    <w:rsid w:val="00AA06BE"/>
    <w:rsid w:val="00AA14F2"/>
    <w:rsid w:val="00AA793E"/>
    <w:rsid w:val="00AB2D8B"/>
    <w:rsid w:val="00AB32A2"/>
    <w:rsid w:val="00AC7C45"/>
    <w:rsid w:val="00AF32D8"/>
    <w:rsid w:val="00B14C73"/>
    <w:rsid w:val="00B20118"/>
    <w:rsid w:val="00B203BE"/>
    <w:rsid w:val="00B210DF"/>
    <w:rsid w:val="00B437F5"/>
    <w:rsid w:val="00B46B97"/>
    <w:rsid w:val="00B74E36"/>
    <w:rsid w:val="00B806CD"/>
    <w:rsid w:val="00B86F55"/>
    <w:rsid w:val="00B942E3"/>
    <w:rsid w:val="00BA04B7"/>
    <w:rsid w:val="00BA4691"/>
    <w:rsid w:val="00BB4015"/>
    <w:rsid w:val="00BE2D22"/>
    <w:rsid w:val="00BE4808"/>
    <w:rsid w:val="00C02684"/>
    <w:rsid w:val="00C23305"/>
    <w:rsid w:val="00C53CD1"/>
    <w:rsid w:val="00C559D5"/>
    <w:rsid w:val="00C6293D"/>
    <w:rsid w:val="00C62A53"/>
    <w:rsid w:val="00C66696"/>
    <w:rsid w:val="00C80CED"/>
    <w:rsid w:val="00C84059"/>
    <w:rsid w:val="00C845BE"/>
    <w:rsid w:val="00C90B75"/>
    <w:rsid w:val="00C9428D"/>
    <w:rsid w:val="00CA3D68"/>
    <w:rsid w:val="00CB285D"/>
    <w:rsid w:val="00CB6B66"/>
    <w:rsid w:val="00CC7B5F"/>
    <w:rsid w:val="00CD1BAA"/>
    <w:rsid w:val="00CF38CF"/>
    <w:rsid w:val="00CF6990"/>
    <w:rsid w:val="00CF71AD"/>
    <w:rsid w:val="00D064A3"/>
    <w:rsid w:val="00D179ED"/>
    <w:rsid w:val="00D23389"/>
    <w:rsid w:val="00D54727"/>
    <w:rsid w:val="00D62EDE"/>
    <w:rsid w:val="00D70C8A"/>
    <w:rsid w:val="00D850F7"/>
    <w:rsid w:val="00D92816"/>
    <w:rsid w:val="00DA0C62"/>
    <w:rsid w:val="00DC1827"/>
    <w:rsid w:val="00DC266F"/>
    <w:rsid w:val="00DC60FA"/>
    <w:rsid w:val="00DC7344"/>
    <w:rsid w:val="00DD002C"/>
    <w:rsid w:val="00DD5694"/>
    <w:rsid w:val="00E0442D"/>
    <w:rsid w:val="00E172EB"/>
    <w:rsid w:val="00E21E1E"/>
    <w:rsid w:val="00E34761"/>
    <w:rsid w:val="00E36EBF"/>
    <w:rsid w:val="00E40333"/>
    <w:rsid w:val="00E41C7E"/>
    <w:rsid w:val="00E527FB"/>
    <w:rsid w:val="00E609C7"/>
    <w:rsid w:val="00E77753"/>
    <w:rsid w:val="00E914BF"/>
    <w:rsid w:val="00E96BB4"/>
    <w:rsid w:val="00EC35D9"/>
    <w:rsid w:val="00EC5192"/>
    <w:rsid w:val="00EE7B4A"/>
    <w:rsid w:val="00F02A37"/>
    <w:rsid w:val="00F03902"/>
    <w:rsid w:val="00F05620"/>
    <w:rsid w:val="00F14B32"/>
    <w:rsid w:val="00F23479"/>
    <w:rsid w:val="00F23C5A"/>
    <w:rsid w:val="00F33EF1"/>
    <w:rsid w:val="00F36795"/>
    <w:rsid w:val="00F41395"/>
    <w:rsid w:val="00F44E7D"/>
    <w:rsid w:val="00F516F2"/>
    <w:rsid w:val="00F61AB3"/>
    <w:rsid w:val="00F842A6"/>
    <w:rsid w:val="00F84680"/>
    <w:rsid w:val="00F969CB"/>
    <w:rsid w:val="00FC6442"/>
    <w:rsid w:val="00FD2BA1"/>
    <w:rsid w:val="00FD3A25"/>
    <w:rsid w:val="00FE07BC"/>
    <w:rsid w:val="00FE7A6E"/>
    <w:rsid w:val="00FF1DB7"/>
    <w:rsid w:val="00FF7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5CC064E-D527-494F-92B2-9A3186A6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4"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22"/>
  </w:style>
  <w:style w:type="paragraph" w:styleId="Heading1">
    <w:name w:val="heading 1"/>
    <w:next w:val="Normal"/>
    <w:link w:val="Heading1Char"/>
    <w:uiPriority w:val="1"/>
    <w:qFormat/>
    <w:rsid w:val="0005221E"/>
    <w:pPr>
      <w:keepNext/>
      <w:keepLines/>
      <w:spacing w:before="240" w:after="120"/>
      <w:outlineLvl w:val="0"/>
    </w:pPr>
    <w:rPr>
      <w:rFonts w:eastAsiaTheme="majorEastAsia" w:cs="Arial"/>
      <w:b/>
      <w:bCs/>
      <w:kern w:val="32"/>
      <w:sz w:val="32"/>
      <w:szCs w:val="32"/>
      <w:lang w:eastAsia="en-AU"/>
    </w:rPr>
  </w:style>
  <w:style w:type="paragraph" w:styleId="Heading2">
    <w:name w:val="heading 2"/>
    <w:next w:val="Normal"/>
    <w:link w:val="Heading2Char"/>
    <w:uiPriority w:val="1"/>
    <w:qFormat/>
    <w:rsid w:val="000F294B"/>
    <w:pPr>
      <w:keepNext/>
      <w:keepLines/>
      <w:spacing w:before="240" w:after="120"/>
      <w:outlineLvl w:val="1"/>
    </w:pPr>
    <w:rPr>
      <w:rFonts w:eastAsiaTheme="majorEastAsia" w:cs="Arial"/>
      <w:b/>
      <w:bCs/>
      <w:color w:val="606060"/>
      <w:kern w:val="32"/>
      <w:sz w:val="28"/>
      <w:szCs w:val="28"/>
      <w:lang w:eastAsia="en-AU"/>
    </w:rPr>
  </w:style>
  <w:style w:type="paragraph" w:styleId="Heading3">
    <w:name w:val="heading 3"/>
    <w:next w:val="Normal"/>
    <w:link w:val="Heading3Char"/>
    <w:uiPriority w:val="1"/>
    <w:qFormat/>
    <w:rsid w:val="000F294B"/>
    <w:pPr>
      <w:keepNext/>
      <w:keepLines/>
      <w:spacing w:before="240" w:after="120"/>
      <w:outlineLvl w:val="2"/>
    </w:pPr>
    <w:rPr>
      <w:rFonts w:eastAsiaTheme="majorEastAsia" w:cs="Arial"/>
      <w:b/>
      <w:bCs/>
      <w:kern w:val="32"/>
      <w:sz w:val="24"/>
      <w:szCs w:val="24"/>
      <w:lang w:eastAsia="en-AU"/>
    </w:rPr>
  </w:style>
  <w:style w:type="paragraph" w:styleId="Heading4">
    <w:name w:val="heading 4"/>
    <w:next w:val="Normal"/>
    <w:link w:val="Heading4Char"/>
    <w:uiPriority w:val="1"/>
    <w:qFormat/>
    <w:rsid w:val="002679F4"/>
    <w:pPr>
      <w:keepNext/>
      <w:keepLines/>
      <w:spacing w:before="360"/>
      <w:outlineLvl w:val="3"/>
    </w:pPr>
    <w:rPr>
      <w:rFonts w:eastAsiaTheme="majorEastAsia" w:cs="Arial"/>
      <w:b/>
      <w:bCs/>
      <w:color w:val="606060"/>
      <w:kern w:val="32"/>
      <w:lang w:eastAsia="en-AU"/>
    </w:rPr>
  </w:style>
  <w:style w:type="paragraph" w:styleId="Heading5">
    <w:name w:val="heading 5"/>
    <w:next w:val="Normal"/>
    <w:link w:val="Heading5Char"/>
    <w:uiPriority w:val="9"/>
    <w:rsid w:val="002679F4"/>
    <w:pPr>
      <w:keepNext/>
      <w:keepLines/>
      <w:spacing w:before="200" w:after="120"/>
      <w:outlineLvl w:val="4"/>
    </w:pPr>
    <w:rPr>
      <w:rFonts w:eastAsiaTheme="majorEastAsia" w:cstheme="majorBidi"/>
      <w:b/>
      <w:color w:val="000000" w:themeColor="text1"/>
      <w:szCs w:val="20"/>
      <w:lang w:eastAsia="en-AU"/>
    </w:rPr>
  </w:style>
  <w:style w:type="paragraph" w:styleId="Heading6">
    <w:name w:val="heading 6"/>
    <w:basedOn w:val="Normal"/>
    <w:next w:val="Normal"/>
    <w:link w:val="Heading6Char"/>
    <w:uiPriority w:val="9"/>
    <w:rsid w:val="002679F4"/>
    <w:pPr>
      <w:keepNext/>
      <w:keepLines/>
      <w:spacing w:before="200" w:after="120"/>
      <w:outlineLvl w:val="5"/>
    </w:pPr>
    <w:rPr>
      <w:rFonts w:eastAsiaTheme="majorEastAsia" w:cstheme="majorBidi"/>
      <w:b/>
      <w:iCs/>
      <w:color w:val="606060"/>
    </w:rPr>
  </w:style>
  <w:style w:type="paragraph" w:styleId="Heading7">
    <w:name w:val="heading 7"/>
    <w:basedOn w:val="Normal"/>
    <w:next w:val="Normal"/>
    <w:link w:val="Heading7Char"/>
    <w:uiPriority w:val="9"/>
    <w:rsid w:val="002679F4"/>
    <w:pPr>
      <w:keepNext/>
      <w:keepLines/>
      <w:spacing w:before="200" w:after="120"/>
      <w:outlineLvl w:val="6"/>
    </w:pPr>
    <w:rPr>
      <w:rFonts w:eastAsiaTheme="majorEastAsia" w:cstheme="majorBidi"/>
      <w:b/>
      <w:iCs/>
      <w:color w:val="000000" w:themeColor="text1"/>
    </w:rPr>
  </w:style>
  <w:style w:type="paragraph" w:styleId="Heading8">
    <w:name w:val="heading 8"/>
    <w:basedOn w:val="Normal"/>
    <w:next w:val="Normal"/>
    <w:link w:val="Heading8Char"/>
    <w:uiPriority w:val="9"/>
    <w:rsid w:val="002679F4"/>
    <w:pPr>
      <w:keepNext/>
      <w:keepLines/>
      <w:spacing w:before="200" w:after="120"/>
      <w:outlineLvl w:val="7"/>
    </w:pPr>
    <w:rPr>
      <w:rFonts w:eastAsiaTheme="majorEastAsia" w:cstheme="majorBidi"/>
      <w:b/>
      <w:color w:val="606060"/>
    </w:rPr>
  </w:style>
  <w:style w:type="paragraph" w:styleId="Heading9">
    <w:name w:val="heading 9"/>
    <w:basedOn w:val="Normal"/>
    <w:next w:val="Normal"/>
    <w:link w:val="Heading9Char"/>
    <w:uiPriority w:val="9"/>
    <w:rsid w:val="002679F4"/>
    <w:pPr>
      <w:keepNext/>
      <w:keepLines/>
      <w:spacing w:before="200" w:after="120"/>
      <w:outlineLvl w:val="8"/>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TG Page Header"/>
    <w:basedOn w:val="Normal"/>
    <w:next w:val="Normal"/>
    <w:link w:val="HeaderChar"/>
    <w:uiPriority w:val="99"/>
    <w:rsid w:val="0033290B"/>
    <w:pPr>
      <w:tabs>
        <w:tab w:val="center" w:pos="4513"/>
        <w:tab w:val="right" w:pos="9026"/>
      </w:tabs>
      <w:spacing w:before="709"/>
      <w:jc w:val="right"/>
    </w:pPr>
    <w:rPr>
      <w:rFonts w:eastAsia="Calibri"/>
      <w:b/>
    </w:rPr>
  </w:style>
  <w:style w:type="character" w:customStyle="1" w:styleId="HeaderChar">
    <w:name w:val="Header Char"/>
    <w:aliases w:val="NTG Page Header Char"/>
    <w:basedOn w:val="DefaultParagraphFont"/>
    <w:link w:val="Header"/>
    <w:uiPriority w:val="99"/>
    <w:rsid w:val="0033290B"/>
    <w:rPr>
      <w:rFonts w:ascii="Arial" w:eastAsia="Calibri" w:hAnsi="Arial" w:cs="Times New Roman"/>
      <w:b/>
    </w:rPr>
  </w:style>
  <w:style w:type="numbering" w:customStyle="1" w:styleId="NTGStandardList">
    <w:name w:val="NTG Standard List"/>
    <w:basedOn w:val="NoList"/>
    <w:rsid w:val="00273A77"/>
    <w:pPr>
      <w:numPr>
        <w:numId w:val="1"/>
      </w:numPr>
    </w:pPr>
  </w:style>
  <w:style w:type="table" w:styleId="TableTheme">
    <w:name w:val="Table Theme"/>
    <w:basedOn w:val="TableNormal"/>
    <w:uiPriority w:val="99"/>
    <w:semiHidden/>
    <w:unhideWhenUsed/>
    <w:rsid w:val="00872BE1"/>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departmentof">
    <w:name w:val="NTG department of"/>
    <w:link w:val="NTGdepartmentofChar"/>
    <w:uiPriority w:val="2"/>
    <w:rsid w:val="003E5ABB"/>
    <w:pPr>
      <w:spacing w:after="0"/>
    </w:pPr>
    <w:rPr>
      <w:rFonts w:cs="Lato Regular"/>
      <w:caps/>
      <w:color w:val="231F20"/>
      <w:sz w:val="20"/>
      <w:szCs w:val="24"/>
      <w:u w:color="000000"/>
      <w:lang w:eastAsia="ja-JP"/>
    </w:rPr>
  </w:style>
  <w:style w:type="paragraph" w:customStyle="1" w:styleId="NTGdepartmentname">
    <w:name w:val="NTG department name"/>
    <w:basedOn w:val="NTGdepartmentof"/>
    <w:link w:val="NTGdepartmentnameChar"/>
    <w:uiPriority w:val="2"/>
    <w:rsid w:val="003E5ABB"/>
    <w:rPr>
      <w:rFonts w:ascii="Arial Black" w:hAnsi="Arial Black" w:cs="Lato Black"/>
    </w:rPr>
  </w:style>
  <w:style w:type="paragraph" w:customStyle="1" w:styleId="Reporttitle">
    <w:name w:val="Report title"/>
    <w:uiPriority w:val="99"/>
    <w:rsid w:val="003E5ABB"/>
    <w:pPr>
      <w:autoSpaceDE w:val="0"/>
      <w:autoSpaceDN w:val="0"/>
      <w:adjustRightInd w:val="0"/>
      <w:spacing w:after="0" w:line="700" w:lineRule="atLeast"/>
      <w:textAlignment w:val="center"/>
    </w:pPr>
    <w:rPr>
      <w:rFonts w:cs="Lato Black"/>
      <w:color w:val="FFFFFF"/>
      <w:sz w:val="66"/>
      <w:szCs w:val="66"/>
    </w:rPr>
  </w:style>
  <w:style w:type="paragraph" w:customStyle="1" w:styleId="Subheading">
    <w:name w:val="Subheading"/>
    <w:uiPriority w:val="99"/>
    <w:qFormat/>
    <w:rsid w:val="0005221E"/>
    <w:pPr>
      <w:spacing w:before="360" w:after="240"/>
    </w:pPr>
    <w:rPr>
      <w:rFonts w:eastAsia="Times New Roman" w:cs="Arial"/>
      <w:b/>
      <w:color w:val="CB6015"/>
      <w:sz w:val="36"/>
      <w:szCs w:val="36"/>
      <w:lang w:eastAsia="en-AU"/>
    </w:rPr>
  </w:style>
  <w:style w:type="paragraph" w:styleId="NoSpacing">
    <w:name w:val="No Spacing"/>
    <w:uiPriority w:val="1"/>
    <w:rsid w:val="00165EEF"/>
    <w:pPr>
      <w:spacing w:after="0"/>
      <w:ind w:left="284"/>
    </w:pPr>
  </w:style>
  <w:style w:type="character" w:customStyle="1" w:styleId="Heading1Char">
    <w:name w:val="Heading 1 Char"/>
    <w:basedOn w:val="DefaultParagraphFont"/>
    <w:link w:val="Heading1"/>
    <w:uiPriority w:val="1"/>
    <w:rsid w:val="0005221E"/>
    <w:rPr>
      <w:rFonts w:eastAsiaTheme="majorEastAsia" w:cs="Arial"/>
      <w:b/>
      <w:bCs/>
      <w:kern w:val="32"/>
      <w:sz w:val="32"/>
      <w:szCs w:val="32"/>
      <w:lang w:eastAsia="en-AU"/>
    </w:rPr>
  </w:style>
  <w:style w:type="character" w:customStyle="1" w:styleId="Heading2Char">
    <w:name w:val="Heading 2 Char"/>
    <w:basedOn w:val="DefaultParagraphFont"/>
    <w:link w:val="Heading2"/>
    <w:uiPriority w:val="1"/>
    <w:rsid w:val="000F294B"/>
    <w:rPr>
      <w:rFonts w:eastAsiaTheme="majorEastAsia" w:cs="Arial"/>
      <w:b/>
      <w:bCs/>
      <w:color w:val="606060"/>
      <w:kern w:val="32"/>
      <w:sz w:val="28"/>
      <w:szCs w:val="28"/>
      <w:lang w:eastAsia="en-AU"/>
    </w:rPr>
  </w:style>
  <w:style w:type="character" w:customStyle="1" w:styleId="Heading3Char">
    <w:name w:val="Heading 3 Char"/>
    <w:basedOn w:val="DefaultParagraphFont"/>
    <w:link w:val="Heading3"/>
    <w:uiPriority w:val="1"/>
    <w:rsid w:val="000F294B"/>
    <w:rPr>
      <w:rFonts w:eastAsiaTheme="majorEastAsia" w:cs="Arial"/>
      <w:b/>
      <w:bCs/>
      <w:kern w:val="32"/>
      <w:sz w:val="24"/>
      <w:szCs w:val="24"/>
      <w:lang w:eastAsia="en-AU"/>
    </w:rPr>
  </w:style>
  <w:style w:type="character" w:customStyle="1" w:styleId="Heading4Char">
    <w:name w:val="Heading 4 Char"/>
    <w:basedOn w:val="DefaultParagraphFont"/>
    <w:link w:val="Heading4"/>
    <w:uiPriority w:val="1"/>
    <w:rsid w:val="002679F4"/>
    <w:rPr>
      <w:rFonts w:ascii="Arial" w:eastAsiaTheme="majorEastAsia" w:hAnsi="Arial" w:cs="Arial"/>
      <w:b/>
      <w:bCs/>
      <w:color w:val="606060"/>
      <w:kern w:val="32"/>
      <w:lang w:eastAsia="en-AU"/>
    </w:rPr>
  </w:style>
  <w:style w:type="paragraph" w:styleId="ListParagraph">
    <w:name w:val="List Paragraph"/>
    <w:aliases w:val="List Paragraph1,Recommendation,List Paragraph11"/>
    <w:basedOn w:val="BlockText"/>
    <w:link w:val="ListParagraphChar"/>
    <w:uiPriority w:val="34"/>
    <w:qFormat/>
    <w:rsid w:val="00273A77"/>
    <w:pPr>
      <w:pBdr>
        <w:top w:val="none" w:sz="0" w:space="0" w:color="auto"/>
        <w:left w:val="none" w:sz="0" w:space="0" w:color="auto"/>
        <w:bottom w:val="none" w:sz="0" w:space="0" w:color="auto"/>
        <w:right w:val="none" w:sz="0" w:space="0" w:color="auto"/>
      </w:pBdr>
      <w:spacing w:after="120"/>
      <w:ind w:left="0" w:right="0"/>
    </w:pPr>
    <w:rPr>
      <w:rFonts w:ascii="Arial" w:hAnsi="Arial" w:cs="Times New Roman"/>
      <w:i w:val="0"/>
      <w:color w:val="auto"/>
    </w:rPr>
  </w:style>
  <w:style w:type="paragraph" w:styleId="BalloonText">
    <w:name w:val="Balloon Text"/>
    <w:basedOn w:val="Normal"/>
    <w:link w:val="BalloonTextChar"/>
    <w:uiPriority w:val="99"/>
    <w:semiHidden/>
    <w:unhideWhenUsed/>
    <w:rsid w:val="00BA46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91"/>
    <w:rPr>
      <w:rFonts w:ascii="Tahoma" w:hAnsi="Tahoma" w:cs="Tahoma"/>
      <w:sz w:val="16"/>
      <w:szCs w:val="16"/>
    </w:rPr>
  </w:style>
  <w:style w:type="table" w:customStyle="1" w:styleId="NTGTable">
    <w:name w:val="NTG Table"/>
    <w:basedOn w:val="TableGrid"/>
    <w:uiPriority w:val="99"/>
    <w:rsid w:val="00BE2D22"/>
    <w:pPr>
      <w:spacing w:after="40"/>
    </w:pPr>
    <w:tblPr>
      <w:tblStyleRowBandSize w:val="1"/>
      <w:tblStyleColBandSize w:val="1"/>
    </w:tblPr>
    <w:trPr>
      <w:cantSplit/>
    </w:trPr>
    <w:tcPr>
      <w:shd w:val="clear" w:color="auto" w:fill="auto"/>
    </w:tcPr>
    <w:tblStylePr w:type="firstRow">
      <w:pPr>
        <w:keepNext/>
        <w:keepLines/>
        <w:widowControl/>
        <w:wordWrap/>
        <w:spacing w:beforeLines="0" w:before="60" w:beforeAutospacing="0" w:afterLines="0" w:after="60" w:afterAutospacing="0" w:line="240" w:lineRule="auto"/>
        <w:ind w:leftChars="0" w:left="0" w:rightChars="0" w:right="0" w:firstLineChars="0" w:firstLine="0"/>
        <w:contextualSpacing w:val="0"/>
        <w:jc w:val="left"/>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numbering" w:customStyle="1" w:styleId="NTGTableList">
    <w:name w:val="NTG Table List"/>
    <w:uiPriority w:val="99"/>
    <w:rsid w:val="00273A77"/>
    <w:pPr>
      <w:numPr>
        <w:numId w:val="3"/>
      </w:numPr>
    </w:pPr>
  </w:style>
  <w:style w:type="numbering" w:customStyle="1" w:styleId="NTGTableNumList">
    <w:name w:val="NTG Table Num List"/>
    <w:uiPriority w:val="99"/>
    <w:rsid w:val="00273A77"/>
    <w:pPr>
      <w:numPr>
        <w:numId w:val="4"/>
      </w:numPr>
    </w:pPr>
  </w:style>
  <w:style w:type="table" w:styleId="TableGrid">
    <w:name w:val="Table Grid"/>
    <w:basedOn w:val="TableNormal"/>
    <w:uiPriority w:val="59"/>
    <w:rsid w:val="00780D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24667C"/>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itle">
    <w:name w:val="Title"/>
    <w:aliases w:val="NTG title"/>
    <w:next w:val="Normal"/>
    <w:link w:val="TitleChar"/>
    <w:uiPriority w:val="10"/>
    <w:rsid w:val="008F5152"/>
    <w:pPr>
      <w:spacing w:after="0"/>
      <w:ind w:left="1134" w:right="1134"/>
    </w:pPr>
    <w:rPr>
      <w:rFonts w:ascii="Arial Black" w:eastAsia="Times New Roman" w:hAnsi="Arial Black" w:cs="Arial"/>
      <w:b/>
      <w:color w:val="CB6015"/>
      <w:sz w:val="48"/>
      <w:szCs w:val="48"/>
      <w:lang w:eastAsia="en-AU"/>
    </w:rPr>
  </w:style>
  <w:style w:type="character" w:customStyle="1" w:styleId="TitleChar">
    <w:name w:val="Title Char"/>
    <w:aliases w:val="NTG title Char"/>
    <w:basedOn w:val="DefaultParagraphFont"/>
    <w:link w:val="Title"/>
    <w:uiPriority w:val="10"/>
    <w:rsid w:val="008F5152"/>
    <w:rPr>
      <w:rFonts w:ascii="Arial Black" w:eastAsia="Times New Roman" w:hAnsi="Arial Black" w:cs="Arial"/>
      <w:b/>
      <w:color w:val="CB6015"/>
      <w:sz w:val="48"/>
      <w:szCs w:val="48"/>
      <w:lang w:eastAsia="en-AU"/>
    </w:rPr>
  </w:style>
  <w:style w:type="character" w:customStyle="1" w:styleId="Heading5Char">
    <w:name w:val="Heading 5 Char"/>
    <w:basedOn w:val="DefaultParagraphFont"/>
    <w:link w:val="Heading5"/>
    <w:uiPriority w:val="9"/>
    <w:rsid w:val="002679F4"/>
    <w:rPr>
      <w:rFonts w:ascii="Arial" w:eastAsiaTheme="majorEastAsia" w:hAnsi="Arial" w:cstheme="majorBidi"/>
      <w:b/>
      <w:color w:val="000000" w:themeColor="text1"/>
      <w:szCs w:val="20"/>
      <w:lang w:eastAsia="en-AU"/>
    </w:rPr>
  </w:style>
  <w:style w:type="character" w:styleId="FollowedHyperlink">
    <w:name w:val="FollowedHyperlink"/>
    <w:basedOn w:val="DefaultParagraphFont"/>
    <w:uiPriority w:val="99"/>
    <w:semiHidden/>
    <w:unhideWhenUsed/>
    <w:rsid w:val="00786219"/>
    <w:rPr>
      <w:color w:val="800080" w:themeColor="followedHyperlink"/>
      <w:u w:val="single"/>
    </w:rPr>
  </w:style>
  <w:style w:type="paragraph" w:customStyle="1" w:styleId="NTGFooter2">
    <w:name w:val="NTG Footer 2"/>
    <w:basedOn w:val="Normal"/>
    <w:uiPriority w:val="2"/>
    <w:rsid w:val="00F23479"/>
    <w:pPr>
      <w:shd w:val="clear" w:color="auto" w:fill="FDE4D0"/>
      <w:tabs>
        <w:tab w:val="right" w:pos="10065"/>
      </w:tabs>
      <w:spacing w:after="0"/>
      <w:ind w:left="-1134" w:right="-1134"/>
    </w:pPr>
    <w:rPr>
      <w:sz w:val="20"/>
    </w:rPr>
  </w:style>
  <w:style w:type="paragraph" w:customStyle="1" w:styleId="NTGfooter2smallspace">
    <w:name w:val="NTG footer 2 small space"/>
    <w:basedOn w:val="Normal"/>
    <w:uiPriority w:val="2"/>
    <w:rsid w:val="003E5ABB"/>
    <w:pPr>
      <w:shd w:val="clear" w:color="auto" w:fill="FDE4D0"/>
      <w:tabs>
        <w:tab w:val="right" w:pos="10065"/>
      </w:tabs>
      <w:spacing w:after="0"/>
      <w:ind w:left="-1134" w:right="-1134"/>
    </w:pPr>
    <w:rPr>
      <w:noProof/>
      <w:sz w:val="4"/>
      <w:szCs w:val="4"/>
    </w:rPr>
  </w:style>
  <w:style w:type="paragraph" w:customStyle="1" w:styleId="NTGfooterdistancespacer">
    <w:name w:val="NTG footer distance spacer"/>
    <w:uiPriority w:val="2"/>
    <w:rsid w:val="003E5ABB"/>
    <w:pPr>
      <w:spacing w:after="0"/>
    </w:pPr>
    <w:rPr>
      <w:rFonts w:eastAsia="Times New Roman" w:cs="Times New Roman"/>
      <w:sz w:val="36"/>
      <w:szCs w:val="4"/>
      <w:lang w:eastAsia="en-AU"/>
    </w:rPr>
  </w:style>
  <w:style w:type="character" w:customStyle="1" w:styleId="Heading6Char">
    <w:name w:val="Heading 6 Char"/>
    <w:basedOn w:val="DefaultParagraphFont"/>
    <w:link w:val="Heading6"/>
    <w:uiPriority w:val="9"/>
    <w:rsid w:val="002679F4"/>
    <w:rPr>
      <w:rFonts w:ascii="Arial" w:eastAsiaTheme="majorEastAsia" w:hAnsi="Arial" w:cstheme="majorBidi"/>
      <w:b/>
      <w:iCs/>
      <w:color w:val="606060"/>
    </w:rPr>
  </w:style>
  <w:style w:type="character" w:styleId="PlaceholderText">
    <w:name w:val="Placeholder Text"/>
    <w:basedOn w:val="DefaultParagraphFont"/>
    <w:uiPriority w:val="99"/>
    <w:semiHidden/>
    <w:rsid w:val="00B86F55"/>
    <w:rPr>
      <w:color w:val="808080"/>
    </w:rPr>
  </w:style>
  <w:style w:type="character" w:customStyle="1" w:styleId="NTGdepartmentofChar">
    <w:name w:val="NTG department of Char"/>
    <w:basedOn w:val="DefaultParagraphFont"/>
    <w:link w:val="NTGdepartmentof"/>
    <w:uiPriority w:val="2"/>
    <w:rsid w:val="007E71D7"/>
    <w:rPr>
      <w:rFonts w:ascii="Arial" w:hAnsi="Arial" w:cs="Lato Regular"/>
      <w:caps/>
      <w:color w:val="231F20"/>
      <w:sz w:val="20"/>
      <w:szCs w:val="24"/>
      <w:u w:color="000000"/>
      <w:lang w:eastAsia="ja-JP"/>
    </w:rPr>
  </w:style>
  <w:style w:type="character" w:customStyle="1" w:styleId="NTGdepartmentnameChar">
    <w:name w:val="NTG department name Char"/>
    <w:basedOn w:val="NTGdepartmentofChar"/>
    <w:link w:val="NTGdepartmentname"/>
    <w:uiPriority w:val="2"/>
    <w:rsid w:val="007E71D7"/>
    <w:rPr>
      <w:rFonts w:ascii="Arial Black" w:hAnsi="Arial Black" w:cs="Lato Black"/>
      <w:caps/>
      <w:color w:val="231F20"/>
      <w:sz w:val="20"/>
      <w:szCs w:val="24"/>
      <w:u w:color="000000"/>
      <w:lang w:eastAsia="ja-JP"/>
    </w:rPr>
  </w:style>
  <w:style w:type="character" w:customStyle="1" w:styleId="Heading7Char">
    <w:name w:val="Heading 7 Char"/>
    <w:basedOn w:val="DefaultParagraphFont"/>
    <w:link w:val="Heading7"/>
    <w:uiPriority w:val="9"/>
    <w:rsid w:val="002679F4"/>
    <w:rPr>
      <w:rFonts w:ascii="Arial" w:eastAsiaTheme="majorEastAsia" w:hAnsi="Arial" w:cstheme="majorBidi"/>
      <w:b/>
      <w:iCs/>
      <w:color w:val="000000" w:themeColor="text1"/>
    </w:rPr>
  </w:style>
  <w:style w:type="character" w:customStyle="1" w:styleId="Heading8Char">
    <w:name w:val="Heading 8 Char"/>
    <w:basedOn w:val="DefaultParagraphFont"/>
    <w:link w:val="Heading8"/>
    <w:uiPriority w:val="9"/>
    <w:rsid w:val="002679F4"/>
    <w:rPr>
      <w:rFonts w:ascii="Arial" w:eastAsiaTheme="majorEastAsia" w:hAnsi="Arial" w:cstheme="majorBidi"/>
      <w:b/>
      <w:color w:val="606060"/>
    </w:rPr>
  </w:style>
  <w:style w:type="character" w:customStyle="1" w:styleId="Heading9Char">
    <w:name w:val="Heading 9 Char"/>
    <w:basedOn w:val="DefaultParagraphFont"/>
    <w:link w:val="Heading9"/>
    <w:uiPriority w:val="9"/>
    <w:rsid w:val="002679F4"/>
    <w:rPr>
      <w:rFonts w:ascii="Arial" w:eastAsiaTheme="majorEastAsia" w:hAnsi="Arial" w:cstheme="majorBidi"/>
      <w:b/>
      <w:iCs/>
      <w:color w:val="000000" w:themeColor="text1"/>
    </w:rPr>
  </w:style>
  <w:style w:type="paragraph" w:styleId="Footer">
    <w:name w:val="footer"/>
    <w:basedOn w:val="Normal"/>
    <w:link w:val="FooterChar"/>
    <w:uiPriority w:val="99"/>
    <w:unhideWhenUsed/>
    <w:rsid w:val="00DA0C62"/>
    <w:pPr>
      <w:tabs>
        <w:tab w:val="center" w:pos="4513"/>
        <w:tab w:val="right" w:pos="9026"/>
      </w:tabs>
      <w:spacing w:after="0"/>
    </w:pPr>
  </w:style>
  <w:style w:type="character" w:customStyle="1" w:styleId="FooterChar">
    <w:name w:val="Footer Char"/>
    <w:basedOn w:val="DefaultParagraphFont"/>
    <w:link w:val="Footer"/>
    <w:uiPriority w:val="99"/>
    <w:rsid w:val="00DA0C62"/>
    <w:rPr>
      <w:rFonts w:ascii="Arial" w:eastAsia="Times New Roman" w:hAnsi="Arial" w:cs="Times New Roman"/>
      <w:szCs w:val="20"/>
      <w:lang w:eastAsia="en-AU"/>
    </w:rPr>
  </w:style>
  <w:style w:type="character" w:styleId="PageNumber">
    <w:name w:val="page number"/>
    <w:basedOn w:val="DefaultParagraphFont"/>
    <w:semiHidden/>
    <w:rsid w:val="00DA0C62"/>
  </w:style>
  <w:style w:type="paragraph" w:customStyle="1" w:styleId="NTGheader1space">
    <w:name w:val="NTG header 1 space"/>
    <w:basedOn w:val="Header"/>
    <w:link w:val="NTGheader1spaceChar"/>
    <w:uiPriority w:val="2"/>
    <w:rsid w:val="00CA3D68"/>
    <w:pPr>
      <w:widowControl w:val="0"/>
      <w:spacing w:before="0" w:after="0"/>
      <w:jc w:val="left"/>
    </w:pPr>
    <w:rPr>
      <w:b w:val="0"/>
    </w:rPr>
  </w:style>
  <w:style w:type="paragraph" w:customStyle="1" w:styleId="NTGfooter1spac">
    <w:name w:val="NTG footer 1 spac"/>
    <w:basedOn w:val="Footer"/>
    <w:link w:val="NTGfooter1spacChar"/>
    <w:uiPriority w:val="2"/>
    <w:rsid w:val="00CA3D68"/>
    <w:rPr>
      <w:sz w:val="4"/>
    </w:rPr>
  </w:style>
  <w:style w:type="character" w:customStyle="1" w:styleId="NTGheader1spaceChar">
    <w:name w:val="NTG header 1 space Char"/>
    <w:basedOn w:val="HeaderChar"/>
    <w:link w:val="NTGheader1space"/>
    <w:uiPriority w:val="2"/>
    <w:rsid w:val="007E71D7"/>
    <w:rPr>
      <w:rFonts w:ascii="Arial" w:eastAsia="Calibri" w:hAnsi="Arial" w:cs="Times New Roman"/>
      <w:b w:val="0"/>
    </w:rPr>
  </w:style>
  <w:style w:type="character" w:customStyle="1" w:styleId="NTGfooter1spacChar">
    <w:name w:val="NTG footer 1 spac Char"/>
    <w:basedOn w:val="FooterChar"/>
    <w:link w:val="NTGfooter1spac"/>
    <w:uiPriority w:val="2"/>
    <w:rsid w:val="007E71D7"/>
    <w:rPr>
      <w:rFonts w:ascii="Arial" w:eastAsia="Times New Roman" w:hAnsi="Arial" w:cs="Times New Roman"/>
      <w:sz w:val="4"/>
      <w:szCs w:val="20"/>
      <w:lang w:eastAsia="en-AU"/>
    </w:rPr>
  </w:style>
  <w:style w:type="paragraph" w:customStyle="1" w:styleId="NTGFooter1text">
    <w:name w:val="NTG Footer 1 text"/>
    <w:basedOn w:val="Normal"/>
    <w:link w:val="NTGFooter1textChar"/>
    <w:rsid w:val="009E36BF"/>
    <w:pPr>
      <w:spacing w:after="0"/>
    </w:pPr>
  </w:style>
  <w:style w:type="character" w:customStyle="1" w:styleId="NTGFooter1textChar">
    <w:name w:val="NTG Footer 1 text Char"/>
    <w:basedOn w:val="DefaultParagraphFont"/>
    <w:link w:val="NTGFooter1text"/>
    <w:rsid w:val="009E36BF"/>
    <w:rPr>
      <w:rFonts w:ascii="Arial" w:eastAsia="Times New Roman" w:hAnsi="Arial" w:cs="Times New Roman"/>
      <w:szCs w:val="20"/>
      <w:lang w:eastAsia="en-AU"/>
    </w:rPr>
  </w:style>
  <w:style w:type="paragraph" w:styleId="ListBullet">
    <w:name w:val="List Bullet"/>
    <w:basedOn w:val="Normal"/>
    <w:uiPriority w:val="99"/>
    <w:rsid w:val="00273A77"/>
    <w:pPr>
      <w:numPr>
        <w:numId w:val="7"/>
      </w:numPr>
      <w:spacing w:after="120"/>
    </w:pPr>
    <w:rPr>
      <w:rFonts w:eastAsia="Calibri"/>
    </w:rPr>
  </w:style>
  <w:style w:type="paragraph" w:styleId="ListBullet2">
    <w:name w:val="List Bullet 2"/>
    <w:basedOn w:val="Normal"/>
    <w:uiPriority w:val="99"/>
    <w:rsid w:val="00273A77"/>
    <w:pPr>
      <w:numPr>
        <w:ilvl w:val="1"/>
        <w:numId w:val="7"/>
      </w:numPr>
      <w:spacing w:after="120"/>
    </w:pPr>
    <w:rPr>
      <w:rFonts w:eastAsia="Calibri"/>
    </w:rPr>
  </w:style>
  <w:style w:type="paragraph" w:styleId="ListBullet3">
    <w:name w:val="List Bullet 3"/>
    <w:basedOn w:val="Normal"/>
    <w:uiPriority w:val="99"/>
    <w:rsid w:val="00273A77"/>
    <w:pPr>
      <w:numPr>
        <w:ilvl w:val="2"/>
        <w:numId w:val="7"/>
      </w:numPr>
      <w:spacing w:after="120"/>
    </w:pPr>
    <w:rPr>
      <w:rFonts w:eastAsia="Calibri"/>
    </w:rPr>
  </w:style>
  <w:style w:type="paragraph" w:styleId="ListBullet4">
    <w:name w:val="List Bullet 4"/>
    <w:basedOn w:val="Normal"/>
    <w:uiPriority w:val="99"/>
    <w:rsid w:val="00273A77"/>
    <w:pPr>
      <w:numPr>
        <w:ilvl w:val="3"/>
        <w:numId w:val="7"/>
      </w:numPr>
      <w:spacing w:after="120"/>
    </w:pPr>
    <w:rPr>
      <w:rFonts w:eastAsia="Calibri"/>
    </w:rPr>
  </w:style>
  <w:style w:type="paragraph" w:styleId="ListBullet5">
    <w:name w:val="List Bullet 5"/>
    <w:basedOn w:val="Normal"/>
    <w:uiPriority w:val="99"/>
    <w:rsid w:val="00273A77"/>
    <w:pPr>
      <w:numPr>
        <w:ilvl w:val="4"/>
        <w:numId w:val="7"/>
      </w:numPr>
    </w:pPr>
    <w:rPr>
      <w:rFonts w:eastAsia="Calibri"/>
    </w:rPr>
  </w:style>
  <w:style w:type="paragraph" w:styleId="ListNumber">
    <w:name w:val="List Number"/>
    <w:basedOn w:val="Normal"/>
    <w:uiPriority w:val="99"/>
    <w:qFormat/>
    <w:rsid w:val="00273A77"/>
    <w:pPr>
      <w:numPr>
        <w:numId w:val="5"/>
      </w:numPr>
      <w:spacing w:after="120"/>
    </w:pPr>
    <w:rPr>
      <w:rFonts w:eastAsia="Calibri"/>
    </w:rPr>
  </w:style>
  <w:style w:type="paragraph" w:styleId="ListNumber2">
    <w:name w:val="List Number 2"/>
    <w:basedOn w:val="Normal"/>
    <w:uiPriority w:val="99"/>
    <w:rsid w:val="00273A77"/>
    <w:pPr>
      <w:numPr>
        <w:ilvl w:val="1"/>
        <w:numId w:val="5"/>
      </w:numPr>
      <w:spacing w:after="120"/>
    </w:pPr>
    <w:rPr>
      <w:rFonts w:eastAsia="Calibri"/>
    </w:rPr>
  </w:style>
  <w:style w:type="paragraph" w:styleId="ListNumber3">
    <w:name w:val="List Number 3"/>
    <w:basedOn w:val="Normal"/>
    <w:uiPriority w:val="99"/>
    <w:rsid w:val="00273A77"/>
    <w:pPr>
      <w:numPr>
        <w:ilvl w:val="2"/>
        <w:numId w:val="5"/>
      </w:numPr>
      <w:spacing w:after="120"/>
    </w:pPr>
    <w:rPr>
      <w:rFonts w:eastAsia="Calibri"/>
    </w:rPr>
  </w:style>
  <w:style w:type="paragraph" w:styleId="ListNumber4">
    <w:name w:val="List Number 4"/>
    <w:basedOn w:val="Normal"/>
    <w:uiPriority w:val="99"/>
    <w:rsid w:val="00273A77"/>
    <w:pPr>
      <w:numPr>
        <w:ilvl w:val="3"/>
        <w:numId w:val="5"/>
      </w:numPr>
      <w:spacing w:after="120"/>
    </w:pPr>
    <w:rPr>
      <w:rFonts w:eastAsia="Calibri"/>
    </w:rPr>
  </w:style>
  <w:style w:type="paragraph" w:styleId="ListNumber5">
    <w:name w:val="List Number 5"/>
    <w:basedOn w:val="Normal"/>
    <w:uiPriority w:val="99"/>
    <w:rsid w:val="00273A77"/>
    <w:pPr>
      <w:numPr>
        <w:ilvl w:val="4"/>
        <w:numId w:val="5"/>
      </w:numPr>
      <w:spacing w:after="120"/>
    </w:pPr>
    <w:rPr>
      <w:rFonts w:eastAsia="Calibri"/>
    </w:rPr>
  </w:style>
  <w:style w:type="numbering" w:customStyle="1" w:styleId="NTGStandardNumList">
    <w:name w:val="NTG Standard Num List"/>
    <w:uiPriority w:val="99"/>
    <w:rsid w:val="00273A77"/>
    <w:pPr>
      <w:numPr>
        <w:numId w:val="2"/>
      </w:numPr>
    </w:pPr>
  </w:style>
  <w:style w:type="character" w:styleId="Hyperlink">
    <w:name w:val="Hyperlink"/>
    <w:basedOn w:val="DefaultParagraphFont"/>
    <w:uiPriority w:val="34"/>
    <w:unhideWhenUsed/>
    <w:rsid w:val="00B210DF"/>
    <w:rPr>
      <w:color w:val="0000FF" w:themeColor="hyperlink"/>
      <w:u w:val="single"/>
    </w:rPr>
  </w:style>
  <w:style w:type="paragraph" w:styleId="BlockText">
    <w:name w:val="Block Text"/>
    <w:basedOn w:val="Normal"/>
    <w:uiPriority w:val="99"/>
    <w:semiHidden/>
    <w:unhideWhenUsed/>
    <w:rsid w:val="00273A7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customStyle="1" w:styleId="NTGTableBulletList1">
    <w:name w:val="NTG Table Bullet List 1"/>
    <w:semiHidden/>
    <w:qFormat/>
    <w:rsid w:val="00273A77"/>
    <w:pPr>
      <w:numPr>
        <w:numId w:val="8"/>
      </w:numPr>
      <w:spacing w:after="20"/>
    </w:pPr>
    <w:rPr>
      <w:rFonts w:eastAsia="Calibri" w:cs="Times New Roman"/>
    </w:rPr>
  </w:style>
  <w:style w:type="paragraph" w:customStyle="1" w:styleId="NTGTableBulletList2">
    <w:name w:val="NTG Table Bullet List 2"/>
    <w:basedOn w:val="NTGTableBulletList1"/>
    <w:semiHidden/>
    <w:qFormat/>
    <w:rsid w:val="00273A77"/>
    <w:pPr>
      <w:numPr>
        <w:ilvl w:val="1"/>
      </w:numPr>
    </w:pPr>
  </w:style>
  <w:style w:type="paragraph" w:customStyle="1" w:styleId="NTGTableBulletList3">
    <w:name w:val="NTG Table Bullet List 3"/>
    <w:basedOn w:val="NTGTableBulletList2"/>
    <w:semiHidden/>
    <w:qFormat/>
    <w:rsid w:val="00273A77"/>
    <w:pPr>
      <w:numPr>
        <w:ilvl w:val="2"/>
      </w:numPr>
    </w:pPr>
  </w:style>
  <w:style w:type="paragraph" w:customStyle="1" w:styleId="NTGTableBulletList4">
    <w:name w:val="NTG Table Bullet List 4"/>
    <w:basedOn w:val="NTGTableBulletList3"/>
    <w:semiHidden/>
    <w:qFormat/>
    <w:rsid w:val="00273A77"/>
    <w:pPr>
      <w:numPr>
        <w:ilvl w:val="3"/>
      </w:numPr>
    </w:pPr>
  </w:style>
  <w:style w:type="paragraph" w:customStyle="1" w:styleId="NTGTableBulletList5">
    <w:name w:val="NTG Table Bullet List 5"/>
    <w:basedOn w:val="NTGTableBulletList4"/>
    <w:semiHidden/>
    <w:qFormat/>
    <w:rsid w:val="00273A77"/>
    <w:pPr>
      <w:numPr>
        <w:ilvl w:val="4"/>
      </w:numPr>
    </w:pPr>
  </w:style>
  <w:style w:type="paragraph" w:customStyle="1" w:styleId="NTGTableBulletList6">
    <w:name w:val="NTG Table Bullet List 6"/>
    <w:basedOn w:val="NTGTableBulletList5"/>
    <w:semiHidden/>
    <w:qFormat/>
    <w:rsid w:val="00273A77"/>
    <w:pPr>
      <w:numPr>
        <w:ilvl w:val="5"/>
      </w:numPr>
    </w:pPr>
  </w:style>
  <w:style w:type="paragraph" w:customStyle="1" w:styleId="NTGTableBulletList7">
    <w:name w:val="NTG Table Bullet List 7"/>
    <w:basedOn w:val="NTGTableBulletList6"/>
    <w:semiHidden/>
    <w:qFormat/>
    <w:rsid w:val="00273A77"/>
    <w:pPr>
      <w:numPr>
        <w:ilvl w:val="6"/>
      </w:numPr>
    </w:pPr>
  </w:style>
  <w:style w:type="paragraph" w:customStyle="1" w:styleId="NTGTableBulletList8">
    <w:name w:val="NTG Table Bullet List 8"/>
    <w:basedOn w:val="NTGTableBulletList7"/>
    <w:semiHidden/>
    <w:qFormat/>
    <w:rsid w:val="00273A77"/>
    <w:pPr>
      <w:numPr>
        <w:ilvl w:val="7"/>
      </w:numPr>
    </w:pPr>
  </w:style>
  <w:style w:type="paragraph" w:customStyle="1" w:styleId="NTGTableBulletList9">
    <w:name w:val="NTG Table Bullet List 9"/>
    <w:basedOn w:val="NTGTableBulletList8"/>
    <w:semiHidden/>
    <w:qFormat/>
    <w:rsid w:val="00273A77"/>
    <w:pPr>
      <w:numPr>
        <w:ilvl w:val="8"/>
      </w:numPr>
    </w:pPr>
  </w:style>
  <w:style w:type="paragraph" w:customStyle="1" w:styleId="NTGTableNumList1">
    <w:name w:val="NTG Table Num List 1"/>
    <w:semiHidden/>
    <w:qFormat/>
    <w:rsid w:val="00273A77"/>
    <w:pPr>
      <w:numPr>
        <w:numId w:val="6"/>
      </w:numPr>
      <w:spacing w:after="20"/>
    </w:pPr>
    <w:rPr>
      <w:rFonts w:eastAsia="Calibri" w:cs="Times New Roman"/>
    </w:rPr>
  </w:style>
  <w:style w:type="paragraph" w:customStyle="1" w:styleId="NTGTableNumList2">
    <w:name w:val="NTG Table Num List 2"/>
    <w:basedOn w:val="NTGTableNumList1"/>
    <w:semiHidden/>
    <w:qFormat/>
    <w:rsid w:val="00273A77"/>
    <w:pPr>
      <w:numPr>
        <w:ilvl w:val="1"/>
      </w:numPr>
    </w:pPr>
  </w:style>
  <w:style w:type="paragraph" w:customStyle="1" w:styleId="NTGTableNumList3">
    <w:name w:val="NTG Table Num List 3"/>
    <w:basedOn w:val="NTGTableNumList2"/>
    <w:semiHidden/>
    <w:qFormat/>
    <w:rsid w:val="00273A77"/>
    <w:pPr>
      <w:numPr>
        <w:ilvl w:val="2"/>
      </w:numPr>
    </w:pPr>
  </w:style>
  <w:style w:type="paragraph" w:customStyle="1" w:styleId="NTGTableNumList4">
    <w:name w:val="NTG Table Num List 4"/>
    <w:basedOn w:val="NTGTableNumList3"/>
    <w:semiHidden/>
    <w:qFormat/>
    <w:rsid w:val="00273A77"/>
    <w:pPr>
      <w:numPr>
        <w:ilvl w:val="3"/>
      </w:numPr>
    </w:pPr>
  </w:style>
  <w:style w:type="paragraph" w:customStyle="1" w:styleId="NTGTableNumList5">
    <w:name w:val="NTG Table Num List 5"/>
    <w:basedOn w:val="NTGTableNumList4"/>
    <w:semiHidden/>
    <w:qFormat/>
    <w:rsid w:val="00273A77"/>
    <w:pPr>
      <w:numPr>
        <w:ilvl w:val="4"/>
      </w:numPr>
    </w:pPr>
  </w:style>
  <w:style w:type="paragraph" w:customStyle="1" w:styleId="NTGTableNumList6">
    <w:name w:val="NTG Table Num List 6"/>
    <w:basedOn w:val="NTGTableNumList5"/>
    <w:semiHidden/>
    <w:qFormat/>
    <w:rsid w:val="00273A77"/>
    <w:pPr>
      <w:numPr>
        <w:ilvl w:val="5"/>
      </w:numPr>
    </w:pPr>
  </w:style>
  <w:style w:type="paragraph" w:customStyle="1" w:styleId="NTGTableNumList7">
    <w:name w:val="NTG Table Num List 7"/>
    <w:basedOn w:val="NTGTableNumList6"/>
    <w:semiHidden/>
    <w:qFormat/>
    <w:rsid w:val="00273A77"/>
    <w:pPr>
      <w:numPr>
        <w:ilvl w:val="6"/>
      </w:numPr>
    </w:pPr>
  </w:style>
  <w:style w:type="paragraph" w:customStyle="1" w:styleId="NTGTableNumList8">
    <w:name w:val="NTG Table Num List 8"/>
    <w:basedOn w:val="NTGTableNumList7"/>
    <w:semiHidden/>
    <w:qFormat/>
    <w:rsid w:val="00273A77"/>
    <w:pPr>
      <w:numPr>
        <w:ilvl w:val="7"/>
      </w:numPr>
    </w:pPr>
  </w:style>
  <w:style w:type="paragraph" w:customStyle="1" w:styleId="NTGTableNumList9">
    <w:name w:val="NTG Table Num List 9"/>
    <w:basedOn w:val="NTGTableNumList8"/>
    <w:semiHidden/>
    <w:qFormat/>
    <w:rsid w:val="00273A77"/>
    <w:pPr>
      <w:numPr>
        <w:ilvl w:val="8"/>
      </w:numPr>
    </w:pPr>
  </w:style>
  <w:style w:type="paragraph" w:styleId="BodyText">
    <w:name w:val="Body Text"/>
    <w:basedOn w:val="Normal"/>
    <w:link w:val="BodyTextChar"/>
    <w:uiPriority w:val="1"/>
    <w:qFormat/>
    <w:rsid w:val="00332473"/>
    <w:pPr>
      <w:widowControl w:val="0"/>
      <w:spacing w:after="0"/>
      <w:ind w:left="1132"/>
    </w:pPr>
    <w:rPr>
      <w:rFonts w:eastAsia="Arial"/>
      <w:lang w:val="en-US"/>
    </w:rPr>
  </w:style>
  <w:style w:type="character" w:customStyle="1" w:styleId="BodyTextChar">
    <w:name w:val="Body Text Char"/>
    <w:basedOn w:val="DefaultParagraphFont"/>
    <w:link w:val="BodyText"/>
    <w:uiPriority w:val="1"/>
    <w:rsid w:val="00332473"/>
    <w:rPr>
      <w:rFonts w:eastAsia="Arial"/>
      <w:lang w:val="en-US"/>
    </w:rPr>
  </w:style>
  <w:style w:type="table" w:styleId="TableGridLight">
    <w:name w:val="Grid Table Light"/>
    <w:basedOn w:val="TableNormal"/>
    <w:uiPriority w:val="40"/>
    <w:rsid w:val="005213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0C5726"/>
    <w:pPr>
      <w:widowControl w:val="0"/>
      <w:spacing w:after="0"/>
    </w:pPr>
    <w:rPr>
      <w:rFonts w:asciiTheme="minorHAnsi" w:hAnsiTheme="minorHAnsi"/>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270958"/>
    <w:rPr>
      <w:rFonts w:eastAsiaTheme="minorEastAsia" w:cs="Times New Roman"/>
      <w:iCs/>
    </w:rPr>
  </w:style>
  <w:style w:type="paragraph" w:customStyle="1" w:styleId="bullet">
    <w:name w:val="bullet"/>
    <w:basedOn w:val="ListParagraph"/>
    <w:link w:val="bulletChar"/>
    <w:qFormat/>
    <w:rsid w:val="000171B2"/>
    <w:pPr>
      <w:numPr>
        <w:numId w:val="17"/>
      </w:numPr>
      <w:spacing w:after="200"/>
      <w:ind w:left="714" w:hanging="357"/>
    </w:pPr>
  </w:style>
  <w:style w:type="character" w:customStyle="1" w:styleId="bulletChar">
    <w:name w:val="bullet Char"/>
    <w:basedOn w:val="ListParagraphChar"/>
    <w:link w:val="bullet"/>
    <w:rsid w:val="000171B2"/>
    <w:rPr>
      <w:rFonts w:eastAsiaTheme="minorEastAsia" w:cs="Times New Roman"/>
      <w:iCs/>
    </w:rPr>
  </w:style>
  <w:style w:type="paragraph" w:styleId="FootnoteText">
    <w:name w:val="footnote text"/>
    <w:basedOn w:val="Normal"/>
    <w:link w:val="FootnoteTextChar"/>
    <w:uiPriority w:val="99"/>
    <w:semiHidden/>
    <w:unhideWhenUsed/>
    <w:rsid w:val="000B527C"/>
    <w:pPr>
      <w:spacing w:after="0"/>
    </w:pPr>
    <w:rPr>
      <w:sz w:val="20"/>
      <w:szCs w:val="20"/>
    </w:rPr>
  </w:style>
  <w:style w:type="character" w:customStyle="1" w:styleId="FootnoteTextChar">
    <w:name w:val="Footnote Text Char"/>
    <w:basedOn w:val="DefaultParagraphFont"/>
    <w:link w:val="FootnoteText"/>
    <w:uiPriority w:val="99"/>
    <w:semiHidden/>
    <w:rsid w:val="000B527C"/>
    <w:rPr>
      <w:sz w:val="20"/>
      <w:szCs w:val="20"/>
    </w:rPr>
  </w:style>
  <w:style w:type="character" w:styleId="FootnoteReference">
    <w:name w:val="footnote reference"/>
    <w:basedOn w:val="DefaultParagraphFont"/>
    <w:uiPriority w:val="99"/>
    <w:semiHidden/>
    <w:unhideWhenUsed/>
    <w:rsid w:val="000B527C"/>
    <w:rPr>
      <w:vertAlign w:val="superscript"/>
    </w:rPr>
  </w:style>
  <w:style w:type="paragraph" w:customStyle="1" w:styleId="Bullet0">
    <w:name w:val="Bullet"/>
    <w:basedOn w:val="ListParagraph"/>
    <w:link w:val="BulletChar0"/>
    <w:qFormat/>
    <w:rsid w:val="0099341F"/>
    <w:pPr>
      <w:numPr>
        <w:numId w:val="39"/>
      </w:numPr>
      <w:spacing w:after="200"/>
      <w:ind w:left="714" w:hanging="357"/>
    </w:pPr>
    <w:rPr>
      <w:lang w:eastAsia="en-AU"/>
    </w:rPr>
  </w:style>
  <w:style w:type="character" w:customStyle="1" w:styleId="BulletChar0">
    <w:name w:val="Bullet Char"/>
    <w:basedOn w:val="ListParagraphChar"/>
    <w:link w:val="Bullet0"/>
    <w:rsid w:val="0099341F"/>
    <w:rPr>
      <w:rFonts w:eastAsiaTheme="minorEastAsia" w:cs="Times New Roman"/>
      <w:i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52075">
      <w:bodyDiv w:val="1"/>
      <w:marLeft w:val="0"/>
      <w:marRight w:val="0"/>
      <w:marTop w:val="0"/>
      <w:marBottom w:val="0"/>
      <w:divBdr>
        <w:top w:val="none" w:sz="0" w:space="0" w:color="auto"/>
        <w:left w:val="none" w:sz="0" w:space="0" w:color="auto"/>
        <w:bottom w:val="none" w:sz="0" w:space="0" w:color="auto"/>
        <w:right w:val="none" w:sz="0" w:space="0" w:color="auto"/>
      </w:divBdr>
    </w:div>
    <w:div w:id="20786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4h\AppData\Local\Temp\Temp1_fact-sheet-b-without-address-template_12.zip\fact-sheet-b-without-address-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53E7E39CCB438D92E6E08A01A221A4"/>
        <w:category>
          <w:name w:val="General"/>
          <w:gallery w:val="placeholder"/>
        </w:category>
        <w:types>
          <w:type w:val="bbPlcHdr"/>
        </w:types>
        <w:behaviors>
          <w:behavior w:val="content"/>
        </w:behaviors>
        <w:guid w:val="{837F1B55-2FD7-4EC1-A864-4754957F5176}"/>
      </w:docPartPr>
      <w:docPartBody>
        <w:p w:rsidR="00287127" w:rsidRDefault="00287127">
          <w:pPr>
            <w:pStyle w:val="FC53E7E39CCB438D92E6E08A01A221A4"/>
          </w:pPr>
          <w:r w:rsidRPr="0024594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7"/>
    <w:rsid w:val="00287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53E7E39CCB438D92E6E08A01A221A4">
    <w:name w:val="FC53E7E39CCB438D92E6E08A01A22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4E4A4-53B3-4809-BF23-2D66BE63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fact-sheet-b-without-address-template.dotm</Template>
  <TotalTime>1</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Fact sheet 22: Commercial fishing industry</vt:lpstr>
    </vt:vector>
  </TitlesOfParts>
  <Company>NTG</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22: Commercial fishing industry</dc:title>
  <dc:creator>Department of Environment and Natural Resources</dc:creator>
  <cp:lastModifiedBy>Fiona Easton</cp:lastModifiedBy>
  <cp:revision>3</cp:revision>
  <cp:lastPrinted>2020-05-20T01:44:00Z</cp:lastPrinted>
  <dcterms:created xsi:type="dcterms:W3CDTF">2020-05-12T07:14:00Z</dcterms:created>
  <dcterms:modified xsi:type="dcterms:W3CDTF">2020-05-20T01:44:00Z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&lt;DD Month YYYY&gt;</vt:lpwstr>
  </property>
  <property fmtid="{D5CDD505-2E9C-101B-9397-08002B2CF9AE}" pid="3" name="VersionNo">
    <vt:lpwstr>&lt;, Version x.x optional&gt;</vt:lpwstr>
  </property>
  <property fmtid="{D5CDD505-2E9C-101B-9397-08002B2CF9AE}" pid="4" name="DocumentAuthor">
    <vt:lpwstr>&lt;Firstname&gt; &lt;Lastname&gt;</vt:lpwstr>
  </property>
  <property fmtid="{D5CDD505-2E9C-101B-9397-08002B2CF9AE}" pid="5" name="DepartmentOf">
    <vt:lpwstr>Department of</vt:lpwstr>
  </property>
  <property fmtid="{D5CDD505-2E9C-101B-9397-08002B2CF9AE}" pid="6" name="DepartmentName">
    <vt:lpwstr>&lt;Department Name&gt;</vt:lpwstr>
  </property>
  <property fmtid="{D5CDD505-2E9C-101B-9397-08002B2CF9AE}" pid="7" name="GPO">
    <vt:lpwstr>&lt;xxxx&gt;</vt:lpwstr>
  </property>
  <property fmtid="{D5CDD505-2E9C-101B-9397-08002B2CF9AE}" pid="8" name="Suburb">
    <vt:lpwstr>Darwin</vt:lpwstr>
  </property>
  <property fmtid="{D5CDD505-2E9C-101B-9397-08002B2CF9AE}" pid="9" name="Postcode">
    <vt:lpwstr>0801</vt:lpwstr>
  </property>
  <property fmtid="{D5CDD505-2E9C-101B-9397-08002B2CF9AE}" pid="10" name="Telephone">
    <vt:lpwstr>&lt;08 89xx xxxx</vt:lpwstr>
  </property>
  <property fmtid="{D5CDD505-2E9C-101B-9397-08002B2CF9AE}" pid="11" name="Facsimile">
    <vt:lpwstr>&lt;08 89xx xxxx</vt:lpwstr>
  </property>
  <property fmtid="{D5CDD505-2E9C-101B-9397-08002B2CF9AE}" pid="12" name="Email">
    <vt:lpwstr>&lt;xxxxxxx@nt.gov.au&gt;</vt:lpwstr>
  </property>
  <property fmtid="{D5CDD505-2E9C-101B-9397-08002B2CF9AE}" pid="13" name="Web">
    <vt:lpwstr>&lt;www.xxxxxxxxxx.nt.gov.au&gt;</vt:lpwstr>
  </property>
</Properties>
</file>